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0437" w:rsidR="007524C8" w:rsidP="004B22E8" w:rsidRDefault="007524C8" w14:paraId="0E5C243E" w14:textId="7EB73C14">
      <w:pPr>
        <w:pStyle w:val="BodyText"/>
        <w:spacing w:after="60"/>
        <w:ind w:left="2189" w:right="2218"/>
        <w:jc w:val="center"/>
        <w:rPr>
          <w:smallCaps/>
          <w:sz w:val="28"/>
          <w:szCs w:val="28"/>
        </w:rPr>
      </w:pPr>
      <w:r w:rsidRPr="00630437">
        <w:rPr>
          <w:smallCaps/>
          <w:sz w:val="28"/>
          <w:szCs w:val="28"/>
        </w:rPr>
        <w:t>David Karim Lakhdhir</w:t>
      </w:r>
    </w:p>
    <w:p w:rsidR="002A0F1B" w:rsidP="004B22E8" w:rsidRDefault="007C75FB" w14:paraId="2667550A" w14:textId="77777777">
      <w:pPr>
        <w:pStyle w:val="BodyText"/>
        <w:ind w:left="2189" w:right="2218"/>
        <w:jc w:val="center"/>
      </w:pPr>
      <w:r w:rsidRPr="00630437">
        <w:t>1285</w:t>
      </w:r>
      <w:r w:rsidRPr="00630437">
        <w:rPr>
          <w:spacing w:val="-4"/>
        </w:rPr>
        <w:t xml:space="preserve"> </w:t>
      </w:r>
      <w:r w:rsidRPr="00630437">
        <w:t>Avenue</w:t>
      </w:r>
      <w:r w:rsidRPr="00630437">
        <w:rPr>
          <w:spacing w:val="-4"/>
        </w:rPr>
        <w:t xml:space="preserve"> </w:t>
      </w:r>
      <w:r w:rsidRPr="00630437">
        <w:t>of</w:t>
      </w:r>
      <w:r w:rsidRPr="00630437">
        <w:rPr>
          <w:spacing w:val="-6"/>
        </w:rPr>
        <w:t xml:space="preserve"> </w:t>
      </w:r>
      <w:r w:rsidRPr="00630437">
        <w:t>the</w:t>
      </w:r>
      <w:r w:rsidRPr="00630437">
        <w:rPr>
          <w:spacing w:val="-6"/>
        </w:rPr>
        <w:t xml:space="preserve"> </w:t>
      </w:r>
      <w:r w:rsidRPr="00630437">
        <w:t>Americas,</w:t>
      </w:r>
      <w:r w:rsidRPr="00630437">
        <w:rPr>
          <w:spacing w:val="-4"/>
        </w:rPr>
        <w:t xml:space="preserve"> </w:t>
      </w:r>
      <w:r w:rsidRPr="00630437">
        <w:t>New</w:t>
      </w:r>
      <w:r w:rsidRPr="00630437">
        <w:rPr>
          <w:spacing w:val="-4"/>
        </w:rPr>
        <w:t xml:space="preserve"> </w:t>
      </w:r>
      <w:r w:rsidRPr="00630437">
        <w:t>York,</w:t>
      </w:r>
      <w:r w:rsidRPr="00630437">
        <w:rPr>
          <w:spacing w:val="-7"/>
        </w:rPr>
        <w:t xml:space="preserve"> </w:t>
      </w:r>
      <w:r w:rsidRPr="00630437">
        <w:t>NY</w:t>
      </w:r>
      <w:r w:rsidRPr="00630437">
        <w:rPr>
          <w:spacing w:val="-5"/>
        </w:rPr>
        <w:t xml:space="preserve"> </w:t>
      </w:r>
      <w:r w:rsidRPr="00630437">
        <w:t>10019</w:t>
      </w:r>
    </w:p>
    <w:p w:rsidRPr="00630437" w:rsidR="004821B6" w:rsidP="004B22E8" w:rsidRDefault="002A0F1B" w14:paraId="1EC9D469" w14:textId="65362929">
      <w:pPr>
        <w:pStyle w:val="BodyText"/>
        <w:ind w:left="2189" w:right="2218"/>
        <w:jc w:val="center"/>
      </w:pPr>
      <w:r>
        <w:t xml:space="preserve">20 </w:t>
      </w:r>
      <w:r w:rsidRPr="00630437" w:rsidR="007C75FB">
        <w:t xml:space="preserve">Air Street, London England W1B 5AN </w:t>
      </w:r>
    </w:p>
    <w:p w:rsidRPr="00630437" w:rsidR="004B22E8" w:rsidP="004B22E8" w:rsidRDefault="004B6055" w14:paraId="7364ABD8" w14:textId="644E06E2">
      <w:pPr>
        <w:pStyle w:val="BodyText"/>
        <w:ind w:left="2189" w:right="2218"/>
        <w:jc w:val="center"/>
        <w:rPr>
          <w:color w:val="0070C0"/>
        </w:rPr>
      </w:pPr>
      <w:hyperlink w:history="1" r:id="rId6">
        <w:r w:rsidRPr="00630437">
          <w:rPr>
            <w:rStyle w:val="Hyperlink"/>
            <w:color w:val="0070C0"/>
          </w:rPr>
          <w:t>dkl2128@columbia.edu</w:t>
        </w:r>
      </w:hyperlink>
      <w:r w:rsidRPr="00630437">
        <w:rPr>
          <w:color w:val="0070C0"/>
        </w:rPr>
        <w:t xml:space="preserve"> </w:t>
      </w:r>
    </w:p>
    <w:p w:rsidRPr="00630437" w:rsidR="008C2E9C" w:rsidP="00B878E3" w:rsidRDefault="002A0F1B" w14:paraId="47DEBA89" w14:textId="770BE7D5">
      <w:pPr>
        <w:pStyle w:val="BodyText"/>
        <w:spacing w:after="240"/>
        <w:ind w:left="2189" w:right="2218"/>
        <w:jc w:val="center"/>
        <w:rPr>
          <w:color w:val="0070C0"/>
        </w:rPr>
      </w:pPr>
      <w:hyperlink r:id="rId7">
        <w:r w:rsidRPr="00630437" w:rsidR="007C75FB">
          <w:rPr>
            <w:color w:val="0070C0"/>
            <w:spacing w:val="-2"/>
            <w:u w:val="single" w:color="0462C1"/>
          </w:rPr>
          <w:t>dlakhdhir@paulweiss.com</w:t>
        </w:r>
      </w:hyperlink>
    </w:p>
    <w:p w:rsidRPr="00630437" w:rsidR="008C2E9C" w:rsidP="00B878E3" w:rsidRDefault="007C75FB" w14:paraId="46A6F2B6" w14:textId="77777777">
      <w:pPr>
        <w:spacing w:after="120"/>
        <w:rPr>
          <w:i/>
        </w:rPr>
      </w:pPr>
      <w:r w:rsidRPr="00630437">
        <w:rPr>
          <w:i/>
        </w:rPr>
        <w:t>Professional</w:t>
      </w:r>
      <w:r w:rsidRPr="00630437">
        <w:rPr>
          <w:i/>
          <w:spacing w:val="-6"/>
        </w:rPr>
        <w:t xml:space="preserve"> </w:t>
      </w:r>
      <w:r w:rsidRPr="00630437">
        <w:rPr>
          <w:i/>
          <w:spacing w:val="-2"/>
        </w:rPr>
        <w:t>experience:</w:t>
      </w:r>
    </w:p>
    <w:p w:rsidRPr="00630437" w:rsidR="007524C8" w:rsidP="00BE1062" w:rsidRDefault="007524C8" w14:paraId="13002B00" w14:textId="0456FC16">
      <w:pPr>
        <w:spacing w:after="120"/>
        <w:rPr>
          <w:bCs/>
          <w:sz w:val="24"/>
          <w:szCs w:val="24"/>
        </w:rPr>
      </w:pPr>
      <w:r w:rsidRPr="00630437">
        <w:rPr>
          <w:b/>
          <w:smallCaps/>
          <w:sz w:val="24"/>
          <w:szCs w:val="24"/>
        </w:rPr>
        <w:t>Columbia Law School</w:t>
      </w:r>
    </w:p>
    <w:p w:rsidRPr="00630437" w:rsidR="007524C8" w:rsidP="001622BF" w:rsidRDefault="007524C8" w14:paraId="0FBD6B8B" w14:textId="7A6E9ACF">
      <w:pPr>
        <w:spacing w:after="240"/>
        <w:rPr>
          <w:bCs/>
        </w:rPr>
      </w:pPr>
      <w:r w:rsidRPr="00630437">
        <w:rPr>
          <w:bCs/>
          <w:i/>
          <w:iCs/>
        </w:rPr>
        <w:t xml:space="preserve">Lecturer in law </w:t>
      </w:r>
      <w:r w:rsidRPr="00630437">
        <w:rPr>
          <w:bCs/>
        </w:rPr>
        <w:t>(2025-present)</w:t>
      </w:r>
      <w:r w:rsidRPr="00630437" w:rsidR="001622BF">
        <w:rPr>
          <w:bCs/>
        </w:rPr>
        <w:t>, teaching a seminar on the Global Regulation of International Business</w:t>
      </w:r>
    </w:p>
    <w:p w:rsidRPr="00630437" w:rsidR="008C2E9C" w:rsidP="00BE1062" w:rsidRDefault="007C75FB" w14:paraId="0DB9FAE6" w14:textId="16ACEA4D">
      <w:pPr>
        <w:spacing w:after="120"/>
        <w:rPr>
          <w:sz w:val="24"/>
          <w:szCs w:val="24"/>
        </w:rPr>
      </w:pPr>
      <w:r w:rsidRPr="00630437">
        <w:rPr>
          <w:b/>
          <w:smallCaps/>
          <w:sz w:val="24"/>
          <w:szCs w:val="24"/>
        </w:rPr>
        <w:t>Paul,</w:t>
      </w:r>
      <w:r w:rsidRPr="00630437">
        <w:rPr>
          <w:b/>
          <w:smallCaps/>
          <w:spacing w:val="-13"/>
          <w:sz w:val="24"/>
          <w:szCs w:val="24"/>
        </w:rPr>
        <w:t xml:space="preserve"> </w:t>
      </w:r>
      <w:r w:rsidRPr="00630437">
        <w:rPr>
          <w:b/>
          <w:smallCaps/>
          <w:sz w:val="24"/>
          <w:szCs w:val="24"/>
        </w:rPr>
        <w:t>Weiss,</w:t>
      </w:r>
      <w:r w:rsidRPr="00630437">
        <w:rPr>
          <w:b/>
          <w:smallCaps/>
          <w:spacing w:val="-12"/>
          <w:sz w:val="24"/>
          <w:szCs w:val="24"/>
        </w:rPr>
        <w:t xml:space="preserve"> </w:t>
      </w:r>
      <w:r w:rsidRPr="00630437">
        <w:rPr>
          <w:b/>
          <w:smallCaps/>
          <w:sz w:val="24"/>
          <w:szCs w:val="24"/>
        </w:rPr>
        <w:t>Rifkind,</w:t>
      </w:r>
      <w:r w:rsidRPr="00630437">
        <w:rPr>
          <w:b/>
          <w:smallCaps/>
          <w:spacing w:val="-15"/>
          <w:sz w:val="24"/>
          <w:szCs w:val="24"/>
        </w:rPr>
        <w:t xml:space="preserve"> </w:t>
      </w:r>
      <w:r w:rsidRPr="00630437">
        <w:rPr>
          <w:b/>
          <w:smallCaps/>
          <w:sz w:val="24"/>
          <w:szCs w:val="24"/>
        </w:rPr>
        <w:t>Wharton</w:t>
      </w:r>
      <w:r w:rsidRPr="00630437">
        <w:rPr>
          <w:b/>
          <w:smallCaps/>
          <w:spacing w:val="-12"/>
          <w:sz w:val="24"/>
          <w:szCs w:val="24"/>
        </w:rPr>
        <w:t xml:space="preserve"> </w:t>
      </w:r>
      <w:r w:rsidRPr="00630437">
        <w:rPr>
          <w:b/>
          <w:smallCaps/>
          <w:sz w:val="24"/>
          <w:szCs w:val="24"/>
        </w:rPr>
        <w:t>&amp;</w:t>
      </w:r>
      <w:r w:rsidRPr="00630437">
        <w:rPr>
          <w:b/>
          <w:smallCaps/>
          <w:spacing w:val="-13"/>
          <w:sz w:val="24"/>
          <w:szCs w:val="24"/>
        </w:rPr>
        <w:t xml:space="preserve"> </w:t>
      </w:r>
      <w:r w:rsidRPr="00630437">
        <w:rPr>
          <w:b/>
          <w:smallCaps/>
          <w:sz w:val="24"/>
          <w:szCs w:val="24"/>
        </w:rPr>
        <w:t>Garrison</w:t>
      </w:r>
      <w:r w:rsidRPr="00630437">
        <w:rPr>
          <w:b/>
          <w:smallCaps/>
          <w:spacing w:val="-12"/>
          <w:sz w:val="24"/>
          <w:szCs w:val="24"/>
        </w:rPr>
        <w:t xml:space="preserve"> </w:t>
      </w:r>
      <w:r w:rsidRPr="00630437">
        <w:rPr>
          <w:b/>
          <w:smallCaps/>
          <w:sz w:val="24"/>
          <w:szCs w:val="24"/>
        </w:rPr>
        <w:t>LLP</w:t>
      </w:r>
    </w:p>
    <w:p w:rsidRPr="00630437" w:rsidR="008C2E9C" w:rsidP="00BE1062" w:rsidRDefault="007C75FB" w14:paraId="32DB07AC" w14:textId="528C00CD">
      <w:pPr>
        <w:pStyle w:val="BodyText"/>
        <w:spacing w:after="120"/>
        <w:ind w:right="216"/>
      </w:pPr>
      <w:r w:rsidRPr="00630437">
        <w:t xml:space="preserve">In a career spanning 40 years </w:t>
      </w:r>
      <w:r w:rsidRPr="00630437" w:rsidR="00BE1062">
        <w:t xml:space="preserve">(1984-present) </w:t>
      </w:r>
      <w:r w:rsidRPr="00630437">
        <w:t xml:space="preserve">and three continents, </w:t>
      </w:r>
      <w:r w:rsidRPr="00630437" w:rsidR="00BE1062">
        <w:t xml:space="preserve">Mr. Lakhdhir </w:t>
      </w:r>
      <w:r w:rsidRPr="00630437">
        <w:t>ha</w:t>
      </w:r>
      <w:r w:rsidRPr="00630437" w:rsidR="00BE1062">
        <w:t>s</w:t>
      </w:r>
      <w:r w:rsidRPr="00630437">
        <w:t xml:space="preserve"> advised on a broad</w:t>
      </w:r>
      <w:r w:rsidRPr="00630437">
        <w:rPr>
          <w:spacing w:val="-4"/>
        </w:rPr>
        <w:t xml:space="preserve"> </w:t>
      </w:r>
      <w:r w:rsidRPr="00630437">
        <w:t>range</w:t>
      </w:r>
      <w:r w:rsidRPr="00630437">
        <w:rPr>
          <w:spacing w:val="-2"/>
        </w:rPr>
        <w:t xml:space="preserve"> </w:t>
      </w:r>
      <w:r w:rsidRPr="00630437">
        <w:t>of</w:t>
      </w:r>
      <w:r w:rsidRPr="00630437">
        <w:rPr>
          <w:spacing w:val="-3"/>
        </w:rPr>
        <w:t xml:space="preserve"> </w:t>
      </w:r>
      <w:r w:rsidRPr="00630437">
        <w:t>M&amp;A,</w:t>
      </w:r>
      <w:r w:rsidRPr="00630437">
        <w:rPr>
          <w:spacing w:val="-2"/>
        </w:rPr>
        <w:t xml:space="preserve"> </w:t>
      </w:r>
      <w:r w:rsidRPr="00630437">
        <w:t>joint</w:t>
      </w:r>
      <w:r w:rsidRPr="00630437">
        <w:rPr>
          <w:spacing w:val="-4"/>
        </w:rPr>
        <w:t xml:space="preserve"> </w:t>
      </w:r>
      <w:r w:rsidRPr="00630437">
        <w:t>venture,</w:t>
      </w:r>
      <w:r w:rsidRPr="00630437">
        <w:rPr>
          <w:spacing w:val="-4"/>
        </w:rPr>
        <w:t xml:space="preserve"> </w:t>
      </w:r>
      <w:r w:rsidRPr="00630437">
        <w:t>capital</w:t>
      </w:r>
      <w:r w:rsidRPr="00630437">
        <w:rPr>
          <w:spacing w:val="-4"/>
        </w:rPr>
        <w:t xml:space="preserve"> </w:t>
      </w:r>
      <w:r w:rsidRPr="00630437">
        <w:t>markets</w:t>
      </w:r>
      <w:r w:rsidRPr="00630437">
        <w:rPr>
          <w:spacing w:val="-2"/>
        </w:rPr>
        <w:t xml:space="preserve"> </w:t>
      </w:r>
      <w:r w:rsidRPr="00630437">
        <w:t>and</w:t>
      </w:r>
      <w:r w:rsidRPr="00630437">
        <w:rPr>
          <w:spacing w:val="-2"/>
        </w:rPr>
        <w:t xml:space="preserve"> </w:t>
      </w:r>
      <w:r w:rsidRPr="00630437">
        <w:t>other</w:t>
      </w:r>
      <w:r w:rsidRPr="00630437">
        <w:rPr>
          <w:spacing w:val="-2"/>
        </w:rPr>
        <w:t xml:space="preserve"> </w:t>
      </w:r>
      <w:r w:rsidRPr="00630437">
        <w:t>transactions</w:t>
      </w:r>
      <w:r w:rsidRPr="00630437">
        <w:rPr>
          <w:spacing w:val="-4"/>
        </w:rPr>
        <w:t xml:space="preserve"> </w:t>
      </w:r>
      <w:r w:rsidRPr="00630437">
        <w:t>for</w:t>
      </w:r>
      <w:r w:rsidRPr="00630437">
        <w:rPr>
          <w:spacing w:val="-4"/>
        </w:rPr>
        <w:t xml:space="preserve"> </w:t>
      </w:r>
      <w:r w:rsidRPr="00630437">
        <w:t>market-leading</w:t>
      </w:r>
      <w:r w:rsidRPr="00630437">
        <w:rPr>
          <w:spacing w:val="-2"/>
        </w:rPr>
        <w:t xml:space="preserve"> </w:t>
      </w:r>
      <w:r w:rsidRPr="00630437">
        <w:t xml:space="preserve">clients, while also advising on human rights, governance, environmental and other ESG matters, often on a </w:t>
      </w:r>
      <w:r w:rsidRPr="00630437">
        <w:rPr>
          <w:i/>
        </w:rPr>
        <w:t xml:space="preserve">pro bono </w:t>
      </w:r>
      <w:r w:rsidRPr="00630437">
        <w:t>basis.</w:t>
      </w:r>
      <w:r w:rsidRPr="00630437">
        <w:rPr>
          <w:spacing w:val="40"/>
        </w:rPr>
        <w:t xml:space="preserve"> </w:t>
      </w:r>
      <w:r w:rsidRPr="00630437">
        <w:t>Currently maintain</w:t>
      </w:r>
      <w:r w:rsidRPr="00630437" w:rsidR="004B6055">
        <w:t>s</w:t>
      </w:r>
      <w:r w:rsidRPr="00630437">
        <w:t xml:space="preserve"> offices in both New York and London.</w:t>
      </w:r>
      <w:r w:rsidRPr="00630437" w:rsidR="00BE1062">
        <w:t xml:space="preserve"> </w:t>
      </w:r>
      <w:r w:rsidRPr="00630437" w:rsidR="004B6055">
        <w:t>Career h</w:t>
      </w:r>
      <w:r w:rsidRPr="00630437" w:rsidR="00BE1062">
        <w:t>ighlights include:</w:t>
      </w:r>
    </w:p>
    <w:p w:rsidRPr="00630437" w:rsidR="008C2E9C" w:rsidP="00BE1062" w:rsidRDefault="007C75FB" w14:paraId="17C21B37" w14:textId="7EA31C92">
      <w:pPr>
        <w:pStyle w:val="BodyText"/>
        <w:spacing w:after="120"/>
      </w:pPr>
      <w:r w:rsidRPr="00630437">
        <w:rPr>
          <w:i/>
        </w:rPr>
        <w:t xml:space="preserve">Co-head of the firm’s London office </w:t>
      </w:r>
      <w:r w:rsidRPr="00630437">
        <w:t>(2002-2020).</w:t>
      </w:r>
      <w:r w:rsidRPr="00630437">
        <w:rPr>
          <w:spacing w:val="40"/>
        </w:rPr>
        <w:t xml:space="preserve"> </w:t>
      </w:r>
      <w:r w:rsidRPr="00630437">
        <w:t xml:space="preserve">Advised on complex transactions in over </w:t>
      </w:r>
      <w:r w:rsidRPr="00630437" w:rsidR="007524C8">
        <w:t>30</w:t>
      </w:r>
      <w:r w:rsidRPr="00630437">
        <w:t xml:space="preserve"> countries, including the U.S., U.K., Canada, the Netherlands, Germany, France, Italy, Luxembourg, Belgium, Czech</w:t>
      </w:r>
      <w:r w:rsidR="00166F69">
        <w:t>ia</w:t>
      </w:r>
      <w:r w:rsidRPr="00630437">
        <w:t>, Switzerland, Sweden, Norway, Slovenia, Serbia, T</w:t>
      </w:r>
      <w:r w:rsidR="00166F69">
        <w:t>ü</w:t>
      </w:r>
      <w:r w:rsidRPr="00630437">
        <w:t>rk</w:t>
      </w:r>
      <w:r w:rsidR="00166F69">
        <w:t>i</w:t>
      </w:r>
      <w:r w:rsidRPr="00630437">
        <w:t>y</w:t>
      </w:r>
      <w:r w:rsidR="00166F69">
        <w:t>e</w:t>
      </w:r>
      <w:r w:rsidRPr="00630437">
        <w:t>, Japan, India, Brazil,</w:t>
      </w:r>
      <w:r w:rsidRPr="00630437">
        <w:rPr>
          <w:spacing w:val="-2"/>
        </w:rPr>
        <w:t xml:space="preserve"> </w:t>
      </w:r>
      <w:r w:rsidRPr="00630437">
        <w:t>South</w:t>
      </w:r>
      <w:r w:rsidRPr="00630437">
        <w:rPr>
          <w:spacing w:val="-2"/>
        </w:rPr>
        <w:t xml:space="preserve"> </w:t>
      </w:r>
      <w:r w:rsidRPr="00630437">
        <w:t>Africa,</w:t>
      </w:r>
      <w:r w:rsidRPr="00630437">
        <w:rPr>
          <w:spacing w:val="-5"/>
        </w:rPr>
        <w:t xml:space="preserve"> </w:t>
      </w:r>
      <w:r w:rsidRPr="00630437">
        <w:t>Malaysia,</w:t>
      </w:r>
      <w:r w:rsidRPr="00630437">
        <w:rPr>
          <w:spacing w:val="-2"/>
        </w:rPr>
        <w:t xml:space="preserve"> </w:t>
      </w:r>
      <w:r w:rsidRPr="00630437">
        <w:t>Singapore,</w:t>
      </w:r>
      <w:r w:rsidRPr="00630437">
        <w:rPr>
          <w:spacing w:val="-2"/>
        </w:rPr>
        <w:t xml:space="preserve"> </w:t>
      </w:r>
      <w:r w:rsidRPr="00630437">
        <w:t>Korea,</w:t>
      </w:r>
      <w:r w:rsidRPr="00630437">
        <w:rPr>
          <w:spacing w:val="-2"/>
        </w:rPr>
        <w:t xml:space="preserve"> </w:t>
      </w:r>
      <w:r w:rsidRPr="00630437">
        <w:t>etc.</w:t>
      </w:r>
      <w:r w:rsidRPr="00630437">
        <w:rPr>
          <w:spacing w:val="40"/>
        </w:rPr>
        <w:t xml:space="preserve"> </w:t>
      </w:r>
      <w:r w:rsidRPr="00630437">
        <w:t>Clients</w:t>
      </w:r>
      <w:r w:rsidRPr="00630437">
        <w:rPr>
          <w:spacing w:val="-3"/>
        </w:rPr>
        <w:t xml:space="preserve"> </w:t>
      </w:r>
      <w:r w:rsidRPr="00630437">
        <w:t>include</w:t>
      </w:r>
      <w:r w:rsidRPr="00630437">
        <w:rPr>
          <w:spacing w:val="-4"/>
        </w:rPr>
        <w:t xml:space="preserve"> </w:t>
      </w:r>
      <w:r w:rsidRPr="00630437">
        <w:t>Apollo,</w:t>
      </w:r>
      <w:r w:rsidRPr="00630437">
        <w:rPr>
          <w:spacing w:val="-2"/>
        </w:rPr>
        <w:t xml:space="preserve"> </w:t>
      </w:r>
      <w:r w:rsidRPr="00630437">
        <w:t>General</w:t>
      </w:r>
      <w:r w:rsidRPr="00630437">
        <w:rPr>
          <w:spacing w:val="-1"/>
        </w:rPr>
        <w:t xml:space="preserve"> </w:t>
      </w:r>
      <w:r w:rsidRPr="00630437">
        <w:t>Atlantic,</w:t>
      </w:r>
      <w:r w:rsidRPr="00630437">
        <w:rPr>
          <w:spacing w:val="-2"/>
        </w:rPr>
        <w:t xml:space="preserve"> </w:t>
      </w:r>
      <w:r w:rsidRPr="00630437">
        <w:t>Oak Hill Capital and other private equity firms on M&amp;A</w:t>
      </w:r>
      <w:r w:rsidR="00BE0AC2">
        <w:t>, financing</w:t>
      </w:r>
      <w:r w:rsidRPr="00630437">
        <w:t xml:space="preserve"> and capital markets transactions across Europe; Citigroup on path-breaking acquisitions and dispositions in Japan, Turkey and India; and major multinationals in the energy, semiconductor, media, and insurance sectors.</w:t>
      </w:r>
      <w:r w:rsidRPr="00630437">
        <w:rPr>
          <w:spacing w:val="40"/>
        </w:rPr>
        <w:t xml:space="preserve"> </w:t>
      </w:r>
      <w:r w:rsidRPr="00630437">
        <w:t>Also advised the U.S. Treasury on Troubled Asset Relief Program (TARP) matters, and the FDIC on rulemaking regarding private equity investment</w:t>
      </w:r>
      <w:r w:rsidRPr="00630437" w:rsidR="00BE1062">
        <w:t>s.</w:t>
      </w:r>
      <w:r w:rsidRPr="00630437" w:rsidR="00B878E3">
        <w:t xml:space="preserve"> Also advised (</w:t>
      </w:r>
      <w:r w:rsidRPr="00630437" w:rsidR="00B878E3">
        <w:rPr>
          <w:i/>
          <w:iCs/>
        </w:rPr>
        <w:t>pro bono</w:t>
      </w:r>
      <w:r w:rsidRPr="00630437" w:rsidR="00B878E3">
        <w:t>) Human Rights Watch, Africa Media Initiative, The Gate Theatre, Children’s Investment Fund Foundation, and other NGOs and U.K. charities.</w:t>
      </w:r>
    </w:p>
    <w:p w:rsidRPr="00630437" w:rsidR="008C2E9C" w:rsidP="00BE1062" w:rsidRDefault="007C75FB" w14:paraId="0C9ADCA2" w14:textId="77777777">
      <w:pPr>
        <w:pStyle w:val="BodyText"/>
        <w:spacing w:after="120"/>
        <w:ind w:right="216"/>
      </w:pPr>
      <w:r w:rsidRPr="00630437">
        <w:rPr>
          <w:i/>
        </w:rPr>
        <w:t>Partner</w:t>
      </w:r>
      <w:r w:rsidRPr="00630437">
        <w:t>,</w:t>
      </w:r>
      <w:r w:rsidRPr="00630437">
        <w:rPr>
          <w:spacing w:val="-2"/>
        </w:rPr>
        <w:t xml:space="preserve"> </w:t>
      </w:r>
      <w:r w:rsidRPr="00630437">
        <w:t>New</w:t>
      </w:r>
      <w:r w:rsidRPr="00630437">
        <w:rPr>
          <w:spacing w:val="-2"/>
        </w:rPr>
        <w:t xml:space="preserve"> </w:t>
      </w:r>
      <w:r w:rsidRPr="00630437">
        <w:t>York</w:t>
      </w:r>
      <w:r w:rsidRPr="00630437">
        <w:rPr>
          <w:spacing w:val="-2"/>
        </w:rPr>
        <w:t xml:space="preserve"> </w:t>
      </w:r>
      <w:r w:rsidRPr="00630437">
        <w:t>(1997-2002).</w:t>
      </w:r>
      <w:r w:rsidRPr="00630437">
        <w:rPr>
          <w:spacing w:val="40"/>
        </w:rPr>
        <w:t xml:space="preserve"> </w:t>
      </w:r>
      <w:r w:rsidRPr="00630437">
        <w:rPr>
          <w:i/>
        </w:rPr>
        <w:t>Chair</w:t>
      </w:r>
      <w:r w:rsidRPr="00630437">
        <w:rPr>
          <w:i/>
          <w:spacing w:val="-4"/>
        </w:rPr>
        <w:t xml:space="preserve"> </w:t>
      </w:r>
      <w:r w:rsidRPr="00630437">
        <w:t>of</w:t>
      </w:r>
      <w:r w:rsidRPr="00630437">
        <w:rPr>
          <w:spacing w:val="-4"/>
        </w:rPr>
        <w:t xml:space="preserve"> </w:t>
      </w:r>
      <w:r w:rsidRPr="00630437">
        <w:t>the</w:t>
      </w:r>
      <w:r w:rsidRPr="00630437">
        <w:rPr>
          <w:spacing w:val="-4"/>
        </w:rPr>
        <w:t xml:space="preserve"> </w:t>
      </w:r>
      <w:r w:rsidRPr="00630437">
        <w:t>firm’s</w:t>
      </w:r>
      <w:r w:rsidRPr="00630437">
        <w:rPr>
          <w:spacing w:val="-4"/>
        </w:rPr>
        <w:t xml:space="preserve"> </w:t>
      </w:r>
      <w:r w:rsidRPr="00630437">
        <w:t>Asia</w:t>
      </w:r>
      <w:r w:rsidRPr="00630437">
        <w:rPr>
          <w:spacing w:val="-2"/>
        </w:rPr>
        <w:t xml:space="preserve"> </w:t>
      </w:r>
      <w:r w:rsidRPr="00630437">
        <w:t>Practice</w:t>
      </w:r>
      <w:r w:rsidRPr="00630437">
        <w:rPr>
          <w:spacing w:val="-2"/>
        </w:rPr>
        <w:t xml:space="preserve"> </w:t>
      </w:r>
      <w:r w:rsidRPr="00630437">
        <w:t>Group.</w:t>
      </w:r>
      <w:r w:rsidRPr="00630437">
        <w:rPr>
          <w:spacing w:val="40"/>
        </w:rPr>
        <w:t xml:space="preserve"> </w:t>
      </w:r>
      <w:r w:rsidRPr="00630437">
        <w:t>Clients</w:t>
      </w:r>
      <w:r w:rsidRPr="00630437">
        <w:rPr>
          <w:spacing w:val="-2"/>
        </w:rPr>
        <w:t xml:space="preserve"> </w:t>
      </w:r>
      <w:r w:rsidRPr="00630437">
        <w:t>during</w:t>
      </w:r>
      <w:r w:rsidRPr="00630437">
        <w:rPr>
          <w:spacing w:val="-2"/>
        </w:rPr>
        <w:t xml:space="preserve"> </w:t>
      </w:r>
      <w:r w:rsidRPr="00630437">
        <w:t>this period included Infineon, NEC Electronics, Doosan Corporation, SK Securities, Goldman Sachs, DLJ, Oak Hill Capital, Time Warner,</w:t>
      </w:r>
      <w:r w:rsidRPr="00630437">
        <w:rPr>
          <w:spacing w:val="-1"/>
        </w:rPr>
        <w:t xml:space="preserve"> </w:t>
      </w:r>
      <w:r w:rsidRPr="00630437">
        <w:t>ShowTime, etc.</w:t>
      </w:r>
      <w:r w:rsidRPr="00630437">
        <w:rPr>
          <w:spacing w:val="40"/>
        </w:rPr>
        <w:t xml:space="preserve"> </w:t>
      </w:r>
      <w:r w:rsidRPr="00630437">
        <w:t>Worked with NYC Bar to establish an advisory</w:t>
      </w:r>
      <w:r w:rsidRPr="00630437">
        <w:rPr>
          <w:spacing w:val="-1"/>
        </w:rPr>
        <w:t xml:space="preserve"> </w:t>
      </w:r>
      <w:r w:rsidRPr="00630437">
        <w:t>program to provide legal advice to businesses in lower Manhattan adversely affected by the 9/11 attack.</w:t>
      </w:r>
    </w:p>
    <w:p w:rsidRPr="00630437" w:rsidR="008C2E9C" w:rsidP="00BE1062" w:rsidRDefault="007C75FB" w14:paraId="2C0EE98D" w14:textId="0FED2836">
      <w:pPr>
        <w:pStyle w:val="BodyText"/>
        <w:spacing w:after="120"/>
        <w:ind w:right="216"/>
      </w:pPr>
      <w:r w:rsidRPr="00630437">
        <w:rPr>
          <w:i/>
        </w:rPr>
        <w:t xml:space="preserve">Partner-in-charge of the firm’s Tokyo office </w:t>
      </w:r>
      <w:r w:rsidRPr="00630437">
        <w:t>(1993-1997).</w:t>
      </w:r>
      <w:r w:rsidRPr="00630437">
        <w:rPr>
          <w:spacing w:val="40"/>
        </w:rPr>
        <w:t xml:space="preserve"> </w:t>
      </w:r>
      <w:r w:rsidRPr="00630437">
        <w:t xml:space="preserve">Notable matters </w:t>
      </w:r>
      <w:r w:rsidRPr="00630437">
        <w:rPr>
          <w:color w:val="292929"/>
        </w:rPr>
        <w:t>during this period included the establishment of the Universal Studios theme park in Osaka; the deleveraging and revitalization of the Doosan Group (a Korean business conglomerate);</w:t>
      </w:r>
      <w:r w:rsidRPr="00630437">
        <w:rPr>
          <w:color w:val="292929"/>
          <w:spacing w:val="-2"/>
        </w:rPr>
        <w:t xml:space="preserve"> </w:t>
      </w:r>
      <w:r w:rsidRPr="00630437">
        <w:rPr>
          <w:color w:val="292929"/>
        </w:rPr>
        <w:t>several</w:t>
      </w:r>
      <w:r w:rsidRPr="00630437" w:rsidR="004B6055">
        <w:rPr>
          <w:color w:val="292929"/>
        </w:rPr>
        <w:t xml:space="preserve"> Japanese</w:t>
      </w:r>
      <w:r w:rsidRPr="00630437">
        <w:rPr>
          <w:color w:val="292929"/>
          <w:spacing w:val="-2"/>
        </w:rPr>
        <w:t xml:space="preserve"> </w:t>
      </w:r>
      <w:r w:rsidRPr="00630437">
        <w:rPr>
          <w:color w:val="292929"/>
        </w:rPr>
        <w:t>bank</w:t>
      </w:r>
      <w:r w:rsidRPr="00630437">
        <w:rPr>
          <w:color w:val="292929"/>
          <w:spacing w:val="-3"/>
        </w:rPr>
        <w:t xml:space="preserve"> </w:t>
      </w:r>
      <w:r w:rsidRPr="00630437">
        <w:rPr>
          <w:color w:val="292929"/>
        </w:rPr>
        <w:t>“mega”-mergers;</w:t>
      </w:r>
      <w:r w:rsidRPr="00630437">
        <w:rPr>
          <w:color w:val="292929"/>
          <w:spacing w:val="-2"/>
        </w:rPr>
        <w:t xml:space="preserve"> </w:t>
      </w:r>
      <w:r w:rsidRPr="00630437">
        <w:rPr>
          <w:color w:val="292929"/>
        </w:rPr>
        <w:t>over</w:t>
      </w:r>
      <w:r w:rsidRPr="00630437">
        <w:rPr>
          <w:color w:val="292929"/>
          <w:spacing w:val="-3"/>
        </w:rPr>
        <w:t xml:space="preserve"> </w:t>
      </w:r>
      <w:r w:rsidRPr="00630437">
        <w:rPr>
          <w:color w:val="292929"/>
        </w:rPr>
        <w:t>$10</w:t>
      </w:r>
      <w:r w:rsidRPr="00630437">
        <w:rPr>
          <w:color w:val="292929"/>
          <w:spacing w:val="-5"/>
        </w:rPr>
        <w:t xml:space="preserve"> </w:t>
      </w:r>
      <w:r w:rsidRPr="00630437">
        <w:rPr>
          <w:color w:val="292929"/>
        </w:rPr>
        <w:t>billion</w:t>
      </w:r>
      <w:r w:rsidRPr="00630437">
        <w:rPr>
          <w:color w:val="292929"/>
          <w:spacing w:val="-6"/>
        </w:rPr>
        <w:t xml:space="preserve"> </w:t>
      </w:r>
      <w:r w:rsidRPr="00630437">
        <w:rPr>
          <w:color w:val="292929"/>
        </w:rPr>
        <w:t>of</w:t>
      </w:r>
      <w:r w:rsidRPr="00630437">
        <w:rPr>
          <w:color w:val="292929"/>
          <w:spacing w:val="-3"/>
        </w:rPr>
        <w:t xml:space="preserve"> </w:t>
      </w:r>
      <w:r w:rsidRPr="00630437">
        <w:rPr>
          <w:color w:val="292929"/>
        </w:rPr>
        <w:t>hybrid</w:t>
      </w:r>
      <w:r w:rsidRPr="00630437">
        <w:rPr>
          <w:color w:val="292929"/>
          <w:spacing w:val="-3"/>
        </w:rPr>
        <w:t xml:space="preserve"> </w:t>
      </w:r>
      <w:r w:rsidRPr="00630437">
        <w:rPr>
          <w:color w:val="292929"/>
        </w:rPr>
        <w:t>capital</w:t>
      </w:r>
      <w:r w:rsidRPr="00630437">
        <w:rPr>
          <w:color w:val="292929"/>
          <w:spacing w:val="-2"/>
        </w:rPr>
        <w:t xml:space="preserve"> </w:t>
      </w:r>
      <w:r w:rsidRPr="00630437">
        <w:rPr>
          <w:color w:val="292929"/>
        </w:rPr>
        <w:t>and</w:t>
      </w:r>
      <w:r w:rsidRPr="00630437">
        <w:rPr>
          <w:color w:val="292929"/>
          <w:spacing w:val="-3"/>
        </w:rPr>
        <w:t xml:space="preserve"> </w:t>
      </w:r>
      <w:r w:rsidRPr="00630437">
        <w:rPr>
          <w:color w:val="292929"/>
        </w:rPr>
        <w:t>subordinated</w:t>
      </w:r>
      <w:r w:rsidRPr="00630437">
        <w:rPr>
          <w:color w:val="292929"/>
          <w:spacing w:val="-4"/>
        </w:rPr>
        <w:t xml:space="preserve"> </w:t>
      </w:r>
      <w:r w:rsidRPr="00630437">
        <w:rPr>
          <w:color w:val="292929"/>
        </w:rPr>
        <w:t>debt offerings for Japan’s largest financial institutions; and major investments by Mitsubishi, Sumitomo, Toshiba, NTT and other Japanese and U.S. companies in the U.S., India, Indonesia, Thailand, and China.</w:t>
      </w:r>
    </w:p>
    <w:p w:rsidRPr="00630437" w:rsidR="008C2E9C" w:rsidP="001622BF" w:rsidRDefault="007C75FB" w14:paraId="532290A0" w14:textId="53C5F3BC">
      <w:pPr>
        <w:pStyle w:val="BodyText"/>
        <w:spacing w:after="240"/>
        <w:ind w:right="222"/>
      </w:pPr>
      <w:r w:rsidRPr="00630437">
        <w:rPr>
          <w:i/>
        </w:rPr>
        <w:t xml:space="preserve">Partner </w:t>
      </w:r>
      <w:r w:rsidRPr="00630437">
        <w:t xml:space="preserve">and </w:t>
      </w:r>
      <w:r w:rsidRPr="00630437">
        <w:rPr>
          <w:i/>
        </w:rPr>
        <w:t xml:space="preserve">Associate </w:t>
      </w:r>
      <w:r w:rsidRPr="00630437">
        <w:t>in New York (1984-1992).</w:t>
      </w:r>
      <w:r w:rsidRPr="00630437">
        <w:rPr>
          <w:spacing w:val="40"/>
        </w:rPr>
        <w:t xml:space="preserve"> </w:t>
      </w:r>
      <w:r w:rsidRPr="00630437">
        <w:t xml:space="preserve">Advised on wide range of public takeover and private equity M&amp;A transactions, IPOs for </w:t>
      </w:r>
      <w:r w:rsidRPr="00630437" w:rsidR="00BE1062">
        <w:t xml:space="preserve">major financial institutions </w:t>
      </w:r>
      <w:r w:rsidRPr="00630437">
        <w:t>and other issuers;</w:t>
      </w:r>
      <w:r w:rsidRPr="00630437">
        <w:rPr>
          <w:spacing w:val="-3"/>
        </w:rPr>
        <w:t xml:space="preserve"> </w:t>
      </w:r>
      <w:r w:rsidRPr="00630437">
        <w:t>formation</w:t>
      </w:r>
      <w:r w:rsidRPr="00630437">
        <w:rPr>
          <w:spacing w:val="-2"/>
        </w:rPr>
        <w:t xml:space="preserve"> </w:t>
      </w:r>
      <w:r w:rsidRPr="00630437">
        <w:t>of</w:t>
      </w:r>
      <w:r w:rsidRPr="00630437">
        <w:rPr>
          <w:spacing w:val="-4"/>
        </w:rPr>
        <w:t xml:space="preserve"> </w:t>
      </w:r>
      <w:r w:rsidRPr="00630437">
        <w:t>several</w:t>
      </w:r>
      <w:r w:rsidRPr="00630437">
        <w:rPr>
          <w:spacing w:val="-1"/>
        </w:rPr>
        <w:t xml:space="preserve"> </w:t>
      </w:r>
      <w:r w:rsidRPr="00630437">
        <w:t>private</w:t>
      </w:r>
      <w:r w:rsidRPr="00630437">
        <w:rPr>
          <w:spacing w:val="-2"/>
        </w:rPr>
        <w:t xml:space="preserve"> </w:t>
      </w:r>
      <w:r w:rsidRPr="00630437">
        <w:t>equity</w:t>
      </w:r>
      <w:r w:rsidRPr="00630437">
        <w:rPr>
          <w:spacing w:val="-5"/>
        </w:rPr>
        <w:t xml:space="preserve"> </w:t>
      </w:r>
      <w:r w:rsidRPr="00630437">
        <w:t>funds;</w:t>
      </w:r>
      <w:r w:rsidRPr="00630437">
        <w:rPr>
          <w:spacing w:val="-1"/>
        </w:rPr>
        <w:t xml:space="preserve"> </w:t>
      </w:r>
      <w:r w:rsidRPr="00630437">
        <w:t>etc.</w:t>
      </w:r>
      <w:r w:rsidRPr="00630437">
        <w:rPr>
          <w:spacing w:val="40"/>
        </w:rPr>
        <w:t xml:space="preserve"> </w:t>
      </w:r>
      <w:r w:rsidRPr="00630437">
        <w:t>Profiled</w:t>
      </w:r>
      <w:r w:rsidRPr="00630437">
        <w:rPr>
          <w:spacing w:val="-2"/>
        </w:rPr>
        <w:t xml:space="preserve"> </w:t>
      </w:r>
      <w:r w:rsidRPr="00630437">
        <w:t>in</w:t>
      </w:r>
      <w:r w:rsidRPr="00630437">
        <w:rPr>
          <w:spacing w:val="-5"/>
        </w:rPr>
        <w:t xml:space="preserve"> </w:t>
      </w:r>
      <w:r w:rsidRPr="00630437">
        <w:t>a</w:t>
      </w:r>
      <w:r w:rsidRPr="00630437">
        <w:rPr>
          <w:spacing w:val="-2"/>
        </w:rPr>
        <w:t xml:space="preserve"> </w:t>
      </w:r>
      <w:r w:rsidRPr="00630437">
        <w:t>1986</w:t>
      </w:r>
      <w:r w:rsidRPr="00630437">
        <w:rPr>
          <w:spacing w:val="-2"/>
        </w:rPr>
        <w:t xml:space="preserve"> </w:t>
      </w:r>
      <w:r w:rsidRPr="00630437">
        <w:rPr>
          <w:i/>
        </w:rPr>
        <w:t>Wall</w:t>
      </w:r>
      <w:r w:rsidRPr="00630437">
        <w:rPr>
          <w:i/>
          <w:spacing w:val="-4"/>
        </w:rPr>
        <w:t xml:space="preserve"> </w:t>
      </w:r>
      <w:r w:rsidRPr="00630437">
        <w:rPr>
          <w:i/>
        </w:rPr>
        <w:t>Street</w:t>
      </w:r>
      <w:r w:rsidRPr="00630437">
        <w:rPr>
          <w:i/>
          <w:spacing w:val="-4"/>
        </w:rPr>
        <w:t xml:space="preserve"> </w:t>
      </w:r>
      <w:r w:rsidRPr="00630437">
        <w:rPr>
          <w:i/>
        </w:rPr>
        <w:t xml:space="preserve">Journal </w:t>
      </w:r>
      <w:r w:rsidRPr="00630437">
        <w:t>article as a “merger whiz kid.”</w:t>
      </w:r>
      <w:r w:rsidRPr="00630437">
        <w:rPr>
          <w:spacing w:val="40"/>
        </w:rPr>
        <w:t xml:space="preserve"> </w:t>
      </w:r>
      <w:r w:rsidRPr="00630437">
        <w:t>Advised (</w:t>
      </w:r>
      <w:r w:rsidRPr="00630437">
        <w:rPr>
          <w:i/>
        </w:rPr>
        <w:t>pro bono</w:t>
      </w:r>
      <w:r w:rsidRPr="00630437">
        <w:t>) the West Side Task Force, the New York City Partnership, the New York Chamber of Commerce, and the Second Stage Theatre.</w:t>
      </w:r>
    </w:p>
    <w:p w:rsidRPr="00630437" w:rsidR="008C2E9C" w:rsidP="00BE0AC2" w:rsidRDefault="007C75FB" w14:paraId="7013321F" w14:textId="77777777">
      <w:pPr>
        <w:spacing w:after="120"/>
        <w:rPr>
          <w:i/>
        </w:rPr>
      </w:pPr>
      <w:r w:rsidRPr="00630437">
        <w:rPr>
          <w:i/>
        </w:rPr>
        <w:t>Board,</w:t>
      </w:r>
      <w:r w:rsidRPr="00630437">
        <w:rPr>
          <w:i/>
          <w:spacing w:val="-4"/>
        </w:rPr>
        <w:t xml:space="preserve"> </w:t>
      </w:r>
      <w:r w:rsidRPr="00630437">
        <w:rPr>
          <w:i/>
        </w:rPr>
        <w:t>committee</w:t>
      </w:r>
      <w:r w:rsidRPr="00630437">
        <w:rPr>
          <w:i/>
          <w:spacing w:val="-4"/>
        </w:rPr>
        <w:t xml:space="preserve"> </w:t>
      </w:r>
      <w:r w:rsidRPr="00630437">
        <w:rPr>
          <w:i/>
        </w:rPr>
        <w:t>and</w:t>
      </w:r>
      <w:r w:rsidRPr="00630437">
        <w:rPr>
          <w:i/>
          <w:spacing w:val="-3"/>
        </w:rPr>
        <w:t xml:space="preserve"> </w:t>
      </w:r>
      <w:r w:rsidRPr="00630437">
        <w:rPr>
          <w:i/>
        </w:rPr>
        <w:t>teaching</w:t>
      </w:r>
      <w:r w:rsidRPr="00630437">
        <w:rPr>
          <w:i/>
          <w:spacing w:val="-2"/>
        </w:rPr>
        <w:t xml:space="preserve"> experience:</w:t>
      </w:r>
    </w:p>
    <w:p w:rsidRPr="00630437" w:rsidR="008C2E9C" w:rsidP="00BE1062" w:rsidRDefault="007C75FB" w14:paraId="2294FD9F" w14:textId="77777777">
      <w:pPr>
        <w:pStyle w:val="Heading1"/>
        <w:spacing w:before="0" w:after="120"/>
        <w:ind w:left="0"/>
      </w:pPr>
      <w:r w:rsidRPr="00630437">
        <w:rPr>
          <w:smallCaps/>
        </w:rPr>
        <w:t>Human</w:t>
      </w:r>
      <w:r w:rsidRPr="00630437">
        <w:rPr>
          <w:smallCaps/>
          <w:spacing w:val="-12"/>
        </w:rPr>
        <w:t xml:space="preserve"> </w:t>
      </w:r>
      <w:r w:rsidRPr="00630437">
        <w:rPr>
          <w:smallCaps/>
        </w:rPr>
        <w:t>Rights</w:t>
      </w:r>
      <w:r w:rsidRPr="00630437">
        <w:rPr>
          <w:smallCaps/>
          <w:spacing w:val="-9"/>
        </w:rPr>
        <w:t xml:space="preserve"> </w:t>
      </w:r>
      <w:r w:rsidRPr="00630437">
        <w:rPr>
          <w:smallCaps/>
        </w:rPr>
        <w:t>Watch,</w:t>
      </w:r>
      <w:r w:rsidRPr="00630437">
        <w:rPr>
          <w:smallCaps/>
          <w:spacing w:val="-12"/>
        </w:rPr>
        <w:t xml:space="preserve"> </w:t>
      </w:r>
      <w:r w:rsidRPr="00630437">
        <w:rPr>
          <w:smallCaps/>
          <w:spacing w:val="-4"/>
        </w:rPr>
        <w:t>Inc.</w:t>
      </w:r>
    </w:p>
    <w:p w:rsidRPr="00630437" w:rsidR="007524C8" w:rsidP="001622BF" w:rsidRDefault="007C75FB" w14:paraId="4BB31473" w14:textId="23795009">
      <w:pPr>
        <w:pStyle w:val="BodyText"/>
        <w:spacing w:after="240"/>
      </w:pPr>
      <w:r w:rsidRPr="00630437">
        <w:rPr>
          <w:i/>
        </w:rPr>
        <w:t>Director</w:t>
      </w:r>
      <w:r w:rsidRPr="00630437">
        <w:rPr>
          <w:i/>
          <w:spacing w:val="-5"/>
        </w:rPr>
        <w:t xml:space="preserve"> </w:t>
      </w:r>
      <w:r w:rsidRPr="00630437">
        <w:t>(2014-present)</w:t>
      </w:r>
      <w:r w:rsidRPr="00630437">
        <w:rPr>
          <w:spacing w:val="-2"/>
        </w:rPr>
        <w:t xml:space="preserve"> </w:t>
      </w:r>
      <w:r w:rsidRPr="00630437">
        <w:t>and</w:t>
      </w:r>
      <w:r w:rsidRPr="00630437">
        <w:rPr>
          <w:spacing w:val="-3"/>
        </w:rPr>
        <w:t xml:space="preserve"> </w:t>
      </w:r>
      <w:r w:rsidRPr="00630437">
        <w:rPr>
          <w:i/>
        </w:rPr>
        <w:t>Chair</w:t>
      </w:r>
      <w:r w:rsidRPr="00630437">
        <w:t>,</w:t>
      </w:r>
      <w:r w:rsidRPr="00630437">
        <w:rPr>
          <w:spacing w:val="-3"/>
        </w:rPr>
        <w:t xml:space="preserve"> </w:t>
      </w:r>
      <w:r w:rsidRPr="00630437">
        <w:t>Policy</w:t>
      </w:r>
      <w:r w:rsidRPr="00630437">
        <w:rPr>
          <w:spacing w:val="-3"/>
        </w:rPr>
        <w:t xml:space="preserve"> </w:t>
      </w:r>
      <w:r w:rsidRPr="00630437">
        <w:t>Committee</w:t>
      </w:r>
      <w:r w:rsidRPr="00630437">
        <w:rPr>
          <w:spacing w:val="-5"/>
        </w:rPr>
        <w:t xml:space="preserve"> </w:t>
      </w:r>
      <w:r w:rsidRPr="00630437">
        <w:t>and</w:t>
      </w:r>
      <w:r w:rsidRPr="00630437">
        <w:rPr>
          <w:spacing w:val="-2"/>
        </w:rPr>
        <w:t xml:space="preserve"> </w:t>
      </w:r>
      <w:r w:rsidRPr="00630437">
        <w:t>Asia</w:t>
      </w:r>
      <w:r w:rsidRPr="00630437">
        <w:rPr>
          <w:spacing w:val="-3"/>
        </w:rPr>
        <w:t xml:space="preserve"> </w:t>
      </w:r>
      <w:r w:rsidRPr="00630437">
        <w:t>Advisory</w:t>
      </w:r>
      <w:r w:rsidRPr="00630437">
        <w:rPr>
          <w:spacing w:val="-3"/>
        </w:rPr>
        <w:t xml:space="preserve"> </w:t>
      </w:r>
      <w:r w:rsidRPr="00630437">
        <w:t>Committee.</w:t>
      </w:r>
      <w:r w:rsidRPr="00630437">
        <w:rPr>
          <w:spacing w:val="40"/>
        </w:rPr>
        <w:t xml:space="preserve"> </w:t>
      </w:r>
      <w:r w:rsidRPr="00630437">
        <w:t>C</w:t>
      </w:r>
      <w:r w:rsidRPr="00630437">
        <w:rPr>
          <w:i/>
        </w:rPr>
        <w:t>hair</w:t>
      </w:r>
      <w:r w:rsidRPr="00630437">
        <w:t>,</w:t>
      </w:r>
      <w:r w:rsidRPr="00630437">
        <w:rPr>
          <w:spacing w:val="-3"/>
        </w:rPr>
        <w:t xml:space="preserve"> </w:t>
      </w:r>
      <w:r w:rsidRPr="00630437">
        <w:t>London Committee (2012-2022).</w:t>
      </w:r>
    </w:p>
    <w:p w:rsidRPr="00630437" w:rsidR="008C2E9C" w:rsidP="00BE1062" w:rsidRDefault="007C75FB" w14:paraId="4D2B5A31" w14:textId="5C1FD173">
      <w:pPr>
        <w:pStyle w:val="Heading1"/>
        <w:spacing w:before="0" w:after="120"/>
        <w:ind w:left="0"/>
      </w:pPr>
      <w:r w:rsidRPr="00630437">
        <w:rPr>
          <w:spacing w:val="-2"/>
        </w:rPr>
        <w:lastRenderedPageBreak/>
        <w:t>JUSTICE</w:t>
      </w:r>
    </w:p>
    <w:p w:rsidRPr="00630437" w:rsidR="008C2E9C" w:rsidP="001622BF" w:rsidRDefault="007C75FB" w14:paraId="132FEFEE" w14:textId="77777777">
      <w:pPr>
        <w:pStyle w:val="BodyText"/>
        <w:spacing w:after="240"/>
        <w:ind w:right="216"/>
        <w:rPr>
          <w:spacing w:val="-2"/>
        </w:rPr>
      </w:pPr>
      <w:r w:rsidRPr="00630437">
        <w:t>Member</w:t>
      </w:r>
      <w:r w:rsidRPr="00630437">
        <w:rPr>
          <w:spacing w:val="-3"/>
        </w:rPr>
        <w:t xml:space="preserve"> </w:t>
      </w:r>
      <w:r w:rsidRPr="00630437">
        <w:t>of</w:t>
      </w:r>
      <w:r w:rsidRPr="00630437">
        <w:rPr>
          <w:spacing w:val="-4"/>
        </w:rPr>
        <w:t xml:space="preserve"> </w:t>
      </w:r>
      <w:r w:rsidRPr="00630437">
        <w:t>the</w:t>
      </w:r>
      <w:r w:rsidRPr="00630437">
        <w:rPr>
          <w:spacing w:val="-4"/>
        </w:rPr>
        <w:t xml:space="preserve"> </w:t>
      </w:r>
      <w:r w:rsidRPr="00630437">
        <w:t>advisory</w:t>
      </w:r>
      <w:r w:rsidRPr="00630437">
        <w:rPr>
          <w:spacing w:val="-2"/>
        </w:rPr>
        <w:t xml:space="preserve"> </w:t>
      </w:r>
      <w:r w:rsidRPr="00630437">
        <w:t>Council (2019-present)</w:t>
      </w:r>
      <w:r w:rsidRPr="00630437">
        <w:rPr>
          <w:spacing w:val="-2"/>
        </w:rPr>
        <w:t xml:space="preserve"> </w:t>
      </w:r>
      <w:r w:rsidRPr="00630437">
        <w:t>of</w:t>
      </w:r>
      <w:r w:rsidRPr="00630437">
        <w:rPr>
          <w:spacing w:val="-2"/>
        </w:rPr>
        <w:t xml:space="preserve"> </w:t>
      </w:r>
      <w:r w:rsidRPr="00630437">
        <w:t>this</w:t>
      </w:r>
      <w:r w:rsidRPr="00630437">
        <w:rPr>
          <w:spacing w:val="-6"/>
        </w:rPr>
        <w:t xml:space="preserve"> </w:t>
      </w:r>
      <w:r w:rsidRPr="00630437">
        <w:t>U.K.</w:t>
      </w:r>
      <w:r w:rsidRPr="00630437">
        <w:rPr>
          <w:spacing w:val="-2"/>
        </w:rPr>
        <w:t xml:space="preserve"> </w:t>
      </w:r>
      <w:r w:rsidRPr="00630437">
        <w:t>law</w:t>
      </w:r>
      <w:r w:rsidRPr="00630437">
        <w:rPr>
          <w:spacing w:val="-2"/>
        </w:rPr>
        <w:t xml:space="preserve"> </w:t>
      </w:r>
      <w:r w:rsidRPr="00630437">
        <w:t>reform</w:t>
      </w:r>
      <w:r w:rsidRPr="00630437">
        <w:rPr>
          <w:spacing w:val="-4"/>
        </w:rPr>
        <w:t xml:space="preserve"> </w:t>
      </w:r>
      <w:r w:rsidRPr="00630437">
        <w:t>and</w:t>
      </w:r>
      <w:r w:rsidRPr="00630437">
        <w:rPr>
          <w:spacing w:val="-2"/>
        </w:rPr>
        <w:t xml:space="preserve"> </w:t>
      </w:r>
      <w:r w:rsidRPr="00630437">
        <w:t>human</w:t>
      </w:r>
      <w:r w:rsidRPr="00630437">
        <w:rPr>
          <w:spacing w:val="-2"/>
        </w:rPr>
        <w:t xml:space="preserve"> </w:t>
      </w:r>
      <w:r w:rsidRPr="00630437">
        <w:t xml:space="preserve">rights </w:t>
      </w:r>
      <w:r w:rsidRPr="00630437">
        <w:rPr>
          <w:spacing w:val="-2"/>
        </w:rPr>
        <w:t>organization.</w:t>
      </w:r>
    </w:p>
    <w:p w:rsidRPr="00630437" w:rsidR="007524C8" w:rsidP="004821B6" w:rsidRDefault="007524C8" w14:paraId="0BAF6D4B" w14:textId="0249000C">
      <w:pPr>
        <w:spacing w:after="120"/>
        <w:rPr>
          <w:b/>
          <w:sz w:val="24"/>
          <w:szCs w:val="24"/>
        </w:rPr>
      </w:pPr>
      <w:r w:rsidRPr="00630437">
        <w:rPr>
          <w:b/>
          <w:smallCaps/>
          <w:sz w:val="24"/>
          <w:szCs w:val="24"/>
        </w:rPr>
        <w:t>National</w:t>
      </w:r>
      <w:r w:rsidRPr="00630437">
        <w:rPr>
          <w:b/>
          <w:smallCaps/>
          <w:spacing w:val="-10"/>
          <w:sz w:val="24"/>
          <w:szCs w:val="24"/>
        </w:rPr>
        <w:t xml:space="preserve"> </w:t>
      </w:r>
      <w:r w:rsidRPr="00630437">
        <w:rPr>
          <w:b/>
          <w:smallCaps/>
          <w:sz w:val="24"/>
          <w:szCs w:val="24"/>
        </w:rPr>
        <w:t>Committee</w:t>
      </w:r>
      <w:r w:rsidRPr="00630437">
        <w:rPr>
          <w:b/>
          <w:smallCaps/>
          <w:spacing w:val="-10"/>
          <w:sz w:val="24"/>
          <w:szCs w:val="24"/>
        </w:rPr>
        <w:t xml:space="preserve"> </w:t>
      </w:r>
      <w:r w:rsidRPr="00630437">
        <w:rPr>
          <w:b/>
          <w:smallCaps/>
          <w:sz w:val="24"/>
          <w:szCs w:val="24"/>
        </w:rPr>
        <w:t>on</w:t>
      </w:r>
      <w:r w:rsidRPr="00630437">
        <w:rPr>
          <w:b/>
          <w:smallCaps/>
          <w:spacing w:val="-8"/>
          <w:sz w:val="24"/>
          <w:szCs w:val="24"/>
        </w:rPr>
        <w:t xml:space="preserve"> </w:t>
      </w:r>
      <w:r w:rsidRPr="00630437">
        <w:rPr>
          <w:b/>
          <w:smallCaps/>
          <w:sz w:val="24"/>
          <w:szCs w:val="24"/>
        </w:rPr>
        <w:t>American</w:t>
      </w:r>
      <w:r w:rsidRPr="00630437">
        <w:rPr>
          <w:b/>
          <w:smallCaps/>
          <w:spacing w:val="-9"/>
          <w:sz w:val="24"/>
          <w:szCs w:val="24"/>
        </w:rPr>
        <w:t xml:space="preserve"> </w:t>
      </w:r>
      <w:r w:rsidRPr="00630437">
        <w:rPr>
          <w:b/>
          <w:smallCaps/>
          <w:sz w:val="24"/>
          <w:szCs w:val="24"/>
        </w:rPr>
        <w:t>Foreign</w:t>
      </w:r>
      <w:r w:rsidRPr="00630437">
        <w:rPr>
          <w:b/>
          <w:smallCaps/>
          <w:spacing w:val="-8"/>
          <w:sz w:val="24"/>
          <w:szCs w:val="24"/>
        </w:rPr>
        <w:t xml:space="preserve"> </w:t>
      </w:r>
      <w:r w:rsidRPr="00630437">
        <w:rPr>
          <w:b/>
          <w:smallCaps/>
          <w:spacing w:val="-2"/>
          <w:sz w:val="24"/>
          <w:szCs w:val="24"/>
        </w:rPr>
        <w:t>Policy</w:t>
      </w:r>
    </w:p>
    <w:p w:rsidRPr="00630437" w:rsidR="008C2E9C" w:rsidP="001622BF" w:rsidRDefault="007C75FB" w14:paraId="71F632B5" w14:textId="5355551F">
      <w:pPr>
        <w:spacing w:after="240"/>
      </w:pPr>
      <w:r w:rsidRPr="00630437">
        <w:rPr>
          <w:i/>
        </w:rPr>
        <w:t>Director</w:t>
      </w:r>
      <w:r w:rsidRPr="00630437">
        <w:rPr>
          <w:i/>
          <w:spacing w:val="-6"/>
        </w:rPr>
        <w:t xml:space="preserve"> </w:t>
      </w:r>
      <w:r w:rsidRPr="00630437">
        <w:t>(2023-present)</w:t>
      </w:r>
      <w:r w:rsidRPr="00630437">
        <w:rPr>
          <w:spacing w:val="-5"/>
        </w:rPr>
        <w:t xml:space="preserve"> </w:t>
      </w:r>
      <w:r w:rsidRPr="00630437">
        <w:t>of</w:t>
      </w:r>
      <w:r w:rsidRPr="00630437">
        <w:rPr>
          <w:spacing w:val="-6"/>
        </w:rPr>
        <w:t xml:space="preserve"> </w:t>
      </w:r>
      <w:r w:rsidRPr="00630437">
        <w:t>this</w:t>
      </w:r>
      <w:r w:rsidRPr="00630437">
        <w:rPr>
          <w:spacing w:val="-6"/>
        </w:rPr>
        <w:t xml:space="preserve"> </w:t>
      </w:r>
      <w:r w:rsidRPr="00630437">
        <w:t>New</w:t>
      </w:r>
      <w:r w:rsidRPr="00630437">
        <w:rPr>
          <w:spacing w:val="-6"/>
        </w:rPr>
        <w:t xml:space="preserve"> </w:t>
      </w:r>
      <w:r w:rsidRPr="00630437">
        <w:t>York-based</w:t>
      </w:r>
      <w:r w:rsidRPr="00630437">
        <w:rPr>
          <w:spacing w:val="-4"/>
        </w:rPr>
        <w:t xml:space="preserve"> </w:t>
      </w:r>
      <w:r w:rsidRPr="00630437">
        <w:t>policy-oriented</w:t>
      </w:r>
      <w:r w:rsidRPr="00630437">
        <w:rPr>
          <w:spacing w:val="-6"/>
        </w:rPr>
        <w:t xml:space="preserve"> </w:t>
      </w:r>
      <w:r w:rsidRPr="00630437">
        <w:t xml:space="preserve">non-governmental </w:t>
      </w:r>
      <w:r w:rsidRPr="00630437">
        <w:rPr>
          <w:spacing w:val="-2"/>
        </w:rPr>
        <w:t>organization.</w:t>
      </w:r>
    </w:p>
    <w:p w:rsidRPr="00630437" w:rsidR="00BE1062" w:rsidP="00BE1062" w:rsidRDefault="00BE1062" w14:paraId="25281302" w14:textId="77777777">
      <w:pPr>
        <w:pStyle w:val="Heading1"/>
        <w:spacing w:before="0" w:after="120"/>
        <w:ind w:left="0"/>
      </w:pPr>
      <w:r w:rsidRPr="00630437">
        <w:rPr>
          <w:smallCaps/>
        </w:rPr>
        <w:t>American</w:t>
      </w:r>
      <w:r w:rsidRPr="00630437">
        <w:rPr>
          <w:smallCaps/>
          <w:spacing w:val="-8"/>
        </w:rPr>
        <w:t xml:space="preserve"> </w:t>
      </w:r>
      <w:r w:rsidRPr="00630437">
        <w:rPr>
          <w:smallCaps/>
        </w:rPr>
        <w:t>University</w:t>
      </w:r>
      <w:r w:rsidRPr="00630437">
        <w:rPr>
          <w:smallCaps/>
          <w:spacing w:val="-10"/>
        </w:rPr>
        <w:t xml:space="preserve"> </w:t>
      </w:r>
      <w:r w:rsidRPr="00630437">
        <w:rPr>
          <w:smallCaps/>
        </w:rPr>
        <w:t>of</w:t>
      </w:r>
      <w:r w:rsidRPr="00630437">
        <w:rPr>
          <w:smallCaps/>
          <w:spacing w:val="-8"/>
        </w:rPr>
        <w:t xml:space="preserve"> </w:t>
      </w:r>
      <w:r w:rsidRPr="00630437">
        <w:rPr>
          <w:smallCaps/>
        </w:rPr>
        <w:t>Central</w:t>
      </w:r>
      <w:r w:rsidRPr="00630437">
        <w:rPr>
          <w:smallCaps/>
          <w:spacing w:val="-8"/>
        </w:rPr>
        <w:t xml:space="preserve"> </w:t>
      </w:r>
      <w:r w:rsidRPr="00630437">
        <w:rPr>
          <w:smallCaps/>
          <w:spacing w:val="-4"/>
        </w:rPr>
        <w:t>Asia</w:t>
      </w:r>
    </w:p>
    <w:p w:rsidRPr="00630437" w:rsidR="00BE1062" w:rsidP="004821B6" w:rsidRDefault="00BE1062" w14:paraId="60B89B3B" w14:textId="5BD2F692">
      <w:pPr>
        <w:pStyle w:val="BodyText"/>
        <w:spacing w:after="240"/>
        <w:rPr>
          <w:smallCaps/>
        </w:rPr>
      </w:pPr>
      <w:r w:rsidRPr="00630437">
        <w:rPr>
          <w:i/>
        </w:rPr>
        <w:t>Chair</w:t>
      </w:r>
      <w:r w:rsidRPr="00630437">
        <w:t>,</w:t>
      </w:r>
      <w:r w:rsidRPr="00630437">
        <w:rPr>
          <w:spacing w:val="-2"/>
        </w:rPr>
        <w:t xml:space="preserve"> </w:t>
      </w:r>
      <w:r w:rsidRPr="00630437">
        <w:t>Board</w:t>
      </w:r>
      <w:r w:rsidRPr="00630437">
        <w:rPr>
          <w:spacing w:val="-2"/>
        </w:rPr>
        <w:t xml:space="preserve"> </w:t>
      </w:r>
      <w:r w:rsidRPr="00630437">
        <w:t>of</w:t>
      </w:r>
      <w:r w:rsidRPr="00630437">
        <w:rPr>
          <w:spacing w:val="-2"/>
        </w:rPr>
        <w:t xml:space="preserve"> </w:t>
      </w:r>
      <w:r w:rsidRPr="00630437">
        <w:t>Trustees</w:t>
      </w:r>
      <w:r w:rsidRPr="00630437">
        <w:rPr>
          <w:spacing w:val="-3"/>
        </w:rPr>
        <w:t xml:space="preserve"> </w:t>
      </w:r>
      <w:r w:rsidRPr="00630437">
        <w:t>(2015-present)</w:t>
      </w:r>
      <w:r w:rsidRPr="00630437">
        <w:rPr>
          <w:spacing w:val="-2"/>
        </w:rPr>
        <w:t xml:space="preserve"> </w:t>
      </w:r>
      <w:r w:rsidRPr="00630437">
        <w:t>and</w:t>
      </w:r>
      <w:r w:rsidRPr="00630437">
        <w:rPr>
          <w:spacing w:val="-4"/>
        </w:rPr>
        <w:t xml:space="preserve"> </w:t>
      </w:r>
      <w:r w:rsidRPr="00630437">
        <w:t>Trustee</w:t>
      </w:r>
      <w:r w:rsidRPr="00630437">
        <w:rPr>
          <w:spacing w:val="-2"/>
        </w:rPr>
        <w:t xml:space="preserve"> </w:t>
      </w:r>
      <w:r w:rsidRPr="00630437">
        <w:t>(since</w:t>
      </w:r>
      <w:r w:rsidRPr="00630437">
        <w:rPr>
          <w:spacing w:val="-3"/>
        </w:rPr>
        <w:t xml:space="preserve"> </w:t>
      </w:r>
      <w:r w:rsidRPr="00630437">
        <w:t>2013)</w:t>
      </w:r>
      <w:r w:rsidRPr="00630437">
        <w:rPr>
          <w:spacing w:val="-1"/>
        </w:rPr>
        <w:t xml:space="preserve"> </w:t>
      </w:r>
      <w:r w:rsidRPr="00630437">
        <w:t>of</w:t>
      </w:r>
      <w:r w:rsidRPr="00630437">
        <w:rPr>
          <w:spacing w:val="-4"/>
        </w:rPr>
        <w:t xml:space="preserve"> </w:t>
      </w:r>
      <w:r w:rsidRPr="00630437">
        <w:t>this</w:t>
      </w:r>
      <w:r w:rsidRPr="00630437">
        <w:rPr>
          <w:spacing w:val="-2"/>
        </w:rPr>
        <w:t xml:space="preserve"> </w:t>
      </w:r>
      <w:r w:rsidRPr="00630437">
        <w:t>leading</w:t>
      </w:r>
      <w:r w:rsidRPr="00630437">
        <w:rPr>
          <w:spacing w:val="-5"/>
        </w:rPr>
        <w:t xml:space="preserve"> </w:t>
      </w:r>
      <w:r w:rsidRPr="00630437">
        <w:t>liberal</w:t>
      </w:r>
      <w:r w:rsidRPr="00630437">
        <w:rPr>
          <w:spacing w:val="-1"/>
        </w:rPr>
        <w:t xml:space="preserve"> </w:t>
      </w:r>
      <w:r w:rsidRPr="00630437">
        <w:t>arts</w:t>
      </w:r>
      <w:r w:rsidRPr="00630437">
        <w:rPr>
          <w:spacing w:val="-2"/>
        </w:rPr>
        <w:t xml:space="preserve"> </w:t>
      </w:r>
      <w:r w:rsidRPr="00630437">
        <w:t>university based in Bishkek, Kyrgyzstan.</w:t>
      </w:r>
    </w:p>
    <w:p w:rsidRPr="00630437" w:rsidR="008C2E9C" w:rsidP="004821B6" w:rsidRDefault="007C75FB" w14:paraId="0D042F0F" w14:textId="280847D6">
      <w:pPr>
        <w:pStyle w:val="Heading1"/>
        <w:spacing w:before="0" w:after="120"/>
        <w:ind w:left="0"/>
      </w:pPr>
      <w:r w:rsidRPr="00630437">
        <w:rPr>
          <w:smallCaps/>
        </w:rPr>
        <w:t>New</w:t>
      </w:r>
      <w:r w:rsidRPr="00630437">
        <w:rPr>
          <w:smallCaps/>
          <w:spacing w:val="-5"/>
        </w:rPr>
        <w:t xml:space="preserve"> </w:t>
      </w:r>
      <w:r w:rsidRPr="00630437">
        <w:rPr>
          <w:smallCaps/>
        </w:rPr>
        <w:t>York</w:t>
      </w:r>
      <w:r w:rsidRPr="00630437">
        <w:rPr>
          <w:smallCaps/>
          <w:spacing w:val="-4"/>
        </w:rPr>
        <w:t xml:space="preserve"> </w:t>
      </w:r>
      <w:r w:rsidRPr="00630437">
        <w:rPr>
          <w:smallCaps/>
        </w:rPr>
        <w:t>City</w:t>
      </w:r>
      <w:r w:rsidRPr="00630437">
        <w:rPr>
          <w:smallCaps/>
          <w:spacing w:val="-5"/>
        </w:rPr>
        <w:t xml:space="preserve"> </w:t>
      </w:r>
      <w:r w:rsidRPr="00630437">
        <w:rPr>
          <w:smallCaps/>
        </w:rPr>
        <w:t>Bar</w:t>
      </w:r>
      <w:r w:rsidRPr="00630437">
        <w:rPr>
          <w:smallCaps/>
          <w:spacing w:val="-5"/>
        </w:rPr>
        <w:t xml:space="preserve"> </w:t>
      </w:r>
      <w:r w:rsidRPr="00630437">
        <w:rPr>
          <w:smallCaps/>
          <w:spacing w:val="-2"/>
        </w:rPr>
        <w:t>Association</w:t>
      </w:r>
    </w:p>
    <w:p w:rsidRPr="00630437" w:rsidR="008C2E9C" w:rsidP="001622BF" w:rsidRDefault="007C75FB" w14:paraId="0AD9007E" w14:textId="26C643BC">
      <w:pPr>
        <w:pStyle w:val="BodyText"/>
        <w:spacing w:after="240"/>
      </w:pPr>
      <w:r w:rsidRPr="00630437">
        <w:rPr>
          <w:i/>
        </w:rPr>
        <w:t>Chair</w:t>
      </w:r>
      <w:r w:rsidRPr="00630437">
        <w:t>,</w:t>
      </w:r>
      <w:r w:rsidRPr="00630437">
        <w:rPr>
          <w:spacing w:val="-8"/>
        </w:rPr>
        <w:t xml:space="preserve"> </w:t>
      </w:r>
      <w:r w:rsidRPr="00630437">
        <w:t>International</w:t>
      </w:r>
      <w:r w:rsidRPr="00630437">
        <w:rPr>
          <w:spacing w:val="-5"/>
        </w:rPr>
        <w:t xml:space="preserve"> </w:t>
      </w:r>
      <w:r w:rsidRPr="00630437">
        <w:t>Law</w:t>
      </w:r>
      <w:r w:rsidRPr="00630437">
        <w:rPr>
          <w:spacing w:val="-7"/>
        </w:rPr>
        <w:t xml:space="preserve"> </w:t>
      </w:r>
      <w:r w:rsidRPr="00630437">
        <w:t>Committee</w:t>
      </w:r>
      <w:r w:rsidRPr="00630437">
        <w:rPr>
          <w:spacing w:val="-5"/>
        </w:rPr>
        <w:t xml:space="preserve"> </w:t>
      </w:r>
      <w:r w:rsidRPr="00630437">
        <w:t>(1999-2001).</w:t>
      </w:r>
      <w:r w:rsidRPr="00630437">
        <w:rPr>
          <w:spacing w:val="43"/>
        </w:rPr>
        <w:t xml:space="preserve"> </w:t>
      </w:r>
      <w:r w:rsidRPr="00630437">
        <w:t>Committee</w:t>
      </w:r>
      <w:r w:rsidRPr="00630437">
        <w:rPr>
          <w:spacing w:val="-5"/>
        </w:rPr>
        <w:t xml:space="preserve"> </w:t>
      </w:r>
      <w:r w:rsidRPr="00630437">
        <w:t>on</w:t>
      </w:r>
      <w:r w:rsidRPr="00630437">
        <w:rPr>
          <w:spacing w:val="-6"/>
        </w:rPr>
        <w:t xml:space="preserve"> </w:t>
      </w:r>
      <w:r w:rsidRPr="00630437">
        <w:t>International</w:t>
      </w:r>
      <w:r w:rsidRPr="00630437">
        <w:rPr>
          <w:spacing w:val="-5"/>
        </w:rPr>
        <w:t xml:space="preserve"> </w:t>
      </w:r>
      <w:r w:rsidRPr="00630437">
        <w:t>Affairs</w:t>
      </w:r>
      <w:r w:rsidRPr="00630437">
        <w:rPr>
          <w:spacing w:val="-5"/>
        </w:rPr>
        <w:t xml:space="preserve"> </w:t>
      </w:r>
      <w:r w:rsidRPr="00630437">
        <w:t>(1999-</w:t>
      </w:r>
      <w:r w:rsidRPr="00630437">
        <w:rPr>
          <w:spacing w:val="-2"/>
        </w:rPr>
        <w:t>2002).</w:t>
      </w:r>
      <w:r w:rsidR="00166F69">
        <w:rPr>
          <w:spacing w:val="-2"/>
        </w:rPr>
        <w:t xml:space="preserve"> </w:t>
      </w:r>
      <w:r w:rsidRPr="00630437">
        <w:rPr>
          <w:i/>
        </w:rPr>
        <w:t>Secretary</w:t>
      </w:r>
      <w:r w:rsidRPr="00630437">
        <w:t>,</w:t>
      </w:r>
      <w:r w:rsidRPr="00630437">
        <w:rPr>
          <w:spacing w:val="-7"/>
        </w:rPr>
        <w:t xml:space="preserve"> </w:t>
      </w:r>
      <w:r w:rsidRPr="00630437">
        <w:t>Committee</w:t>
      </w:r>
      <w:r w:rsidRPr="00630437">
        <w:rPr>
          <w:spacing w:val="-5"/>
        </w:rPr>
        <w:t xml:space="preserve"> </w:t>
      </w:r>
      <w:r w:rsidRPr="00630437">
        <w:t>on</w:t>
      </w:r>
      <w:r w:rsidRPr="00630437">
        <w:rPr>
          <w:spacing w:val="-4"/>
        </w:rPr>
        <w:t xml:space="preserve"> </w:t>
      </w:r>
      <w:r w:rsidRPr="00630437">
        <w:t>Foreign</w:t>
      </w:r>
      <w:r w:rsidRPr="00630437">
        <w:rPr>
          <w:spacing w:val="-5"/>
        </w:rPr>
        <w:t xml:space="preserve"> </w:t>
      </w:r>
      <w:r w:rsidRPr="00630437">
        <w:t>and</w:t>
      </w:r>
      <w:r w:rsidRPr="00630437">
        <w:rPr>
          <w:spacing w:val="-4"/>
        </w:rPr>
        <w:t xml:space="preserve"> </w:t>
      </w:r>
      <w:r w:rsidRPr="00630437">
        <w:t>Comparative</w:t>
      </w:r>
      <w:r w:rsidRPr="00630437">
        <w:rPr>
          <w:spacing w:val="-5"/>
        </w:rPr>
        <w:t xml:space="preserve"> </w:t>
      </w:r>
      <w:r w:rsidRPr="00630437">
        <w:t>Law</w:t>
      </w:r>
      <w:r w:rsidRPr="00630437">
        <w:rPr>
          <w:spacing w:val="-5"/>
        </w:rPr>
        <w:t xml:space="preserve"> </w:t>
      </w:r>
      <w:r w:rsidRPr="00630437">
        <w:t>(1987-</w:t>
      </w:r>
      <w:r w:rsidRPr="00630437">
        <w:rPr>
          <w:spacing w:val="-2"/>
        </w:rPr>
        <w:t>1992).</w:t>
      </w:r>
    </w:p>
    <w:p w:rsidRPr="00630437" w:rsidR="008C2E9C" w:rsidP="004821B6" w:rsidRDefault="007C75FB" w14:paraId="41F49CBE" w14:textId="77777777">
      <w:pPr>
        <w:pStyle w:val="Heading1"/>
        <w:spacing w:before="0" w:after="120"/>
        <w:ind w:left="0"/>
      </w:pPr>
      <w:r w:rsidRPr="00630437">
        <w:rPr>
          <w:smallCaps/>
        </w:rPr>
        <w:t>New</w:t>
      </w:r>
      <w:r w:rsidRPr="00630437">
        <w:rPr>
          <w:smallCaps/>
          <w:spacing w:val="-6"/>
        </w:rPr>
        <w:t xml:space="preserve"> </w:t>
      </w:r>
      <w:r w:rsidRPr="00630437">
        <w:rPr>
          <w:smallCaps/>
        </w:rPr>
        <w:t>York</w:t>
      </w:r>
      <w:r w:rsidRPr="00630437">
        <w:rPr>
          <w:smallCaps/>
          <w:spacing w:val="-4"/>
        </w:rPr>
        <w:t xml:space="preserve"> </w:t>
      </w:r>
      <w:r w:rsidRPr="00630437">
        <w:rPr>
          <w:smallCaps/>
        </w:rPr>
        <w:t>City</w:t>
      </w:r>
      <w:r w:rsidRPr="00630437">
        <w:rPr>
          <w:smallCaps/>
          <w:spacing w:val="-5"/>
        </w:rPr>
        <w:t xml:space="preserve"> </w:t>
      </w:r>
      <w:r w:rsidRPr="00630437">
        <w:rPr>
          <w:smallCaps/>
          <w:spacing w:val="-2"/>
        </w:rPr>
        <w:t>Partnership</w:t>
      </w:r>
    </w:p>
    <w:p w:rsidRPr="00630437" w:rsidR="008C2E9C" w:rsidP="001622BF" w:rsidRDefault="007C75FB" w14:paraId="602DFCFD" w14:textId="77777777">
      <w:pPr>
        <w:pStyle w:val="BodyText"/>
        <w:spacing w:after="240"/>
      </w:pPr>
      <w:r w:rsidRPr="00630437">
        <w:rPr>
          <w:i/>
        </w:rPr>
        <w:t>Partner</w:t>
      </w:r>
      <w:r w:rsidRPr="00630437">
        <w:rPr>
          <w:i/>
          <w:spacing w:val="-4"/>
        </w:rPr>
        <w:t xml:space="preserve"> </w:t>
      </w:r>
      <w:r w:rsidRPr="00630437">
        <w:t>(1999-2001)</w:t>
      </w:r>
      <w:r w:rsidRPr="00630437">
        <w:rPr>
          <w:spacing w:val="-3"/>
        </w:rPr>
        <w:t xml:space="preserve"> </w:t>
      </w:r>
      <w:r w:rsidRPr="00630437">
        <w:t>of</w:t>
      </w:r>
      <w:r w:rsidRPr="00630437">
        <w:rPr>
          <w:spacing w:val="-5"/>
        </w:rPr>
        <w:t xml:space="preserve"> </w:t>
      </w:r>
      <w:r w:rsidRPr="00630437">
        <w:t>this</w:t>
      </w:r>
      <w:r w:rsidRPr="00630437">
        <w:rPr>
          <w:spacing w:val="-4"/>
        </w:rPr>
        <w:t xml:space="preserve"> </w:t>
      </w:r>
      <w:r w:rsidRPr="00630437">
        <w:t>major</w:t>
      </w:r>
      <w:r w:rsidRPr="00630437">
        <w:rPr>
          <w:spacing w:val="-3"/>
        </w:rPr>
        <w:t xml:space="preserve"> </w:t>
      </w:r>
      <w:r w:rsidRPr="00630437">
        <w:t>New</w:t>
      </w:r>
      <w:r w:rsidRPr="00630437">
        <w:rPr>
          <w:spacing w:val="-3"/>
        </w:rPr>
        <w:t xml:space="preserve"> </w:t>
      </w:r>
      <w:r w:rsidRPr="00630437">
        <w:t>York</w:t>
      </w:r>
      <w:r w:rsidRPr="00630437">
        <w:rPr>
          <w:spacing w:val="-3"/>
        </w:rPr>
        <w:t xml:space="preserve"> </w:t>
      </w:r>
      <w:r w:rsidRPr="00630437">
        <w:t>civic</w:t>
      </w:r>
      <w:r w:rsidRPr="00630437">
        <w:rPr>
          <w:spacing w:val="-3"/>
        </w:rPr>
        <w:t xml:space="preserve"> </w:t>
      </w:r>
      <w:r w:rsidRPr="00630437">
        <w:rPr>
          <w:spacing w:val="-2"/>
        </w:rPr>
        <w:t>organization.</w:t>
      </w:r>
    </w:p>
    <w:p w:rsidRPr="00630437" w:rsidR="008C2E9C" w:rsidP="004821B6" w:rsidRDefault="007C75FB" w14:paraId="5F4F5930" w14:textId="77777777">
      <w:pPr>
        <w:spacing w:after="120"/>
        <w:rPr>
          <w:sz w:val="24"/>
          <w:szCs w:val="24"/>
        </w:rPr>
      </w:pPr>
      <w:r w:rsidRPr="00630437">
        <w:rPr>
          <w:b/>
          <w:smallCaps/>
          <w:sz w:val="24"/>
          <w:szCs w:val="24"/>
        </w:rPr>
        <w:t>Indian</w:t>
      </w:r>
      <w:r w:rsidRPr="00630437">
        <w:rPr>
          <w:b/>
          <w:smallCaps/>
          <w:spacing w:val="-5"/>
          <w:sz w:val="24"/>
          <w:szCs w:val="24"/>
        </w:rPr>
        <w:t xml:space="preserve"> </w:t>
      </w:r>
      <w:r w:rsidRPr="00630437">
        <w:rPr>
          <w:b/>
          <w:smallCaps/>
          <w:sz w:val="24"/>
          <w:szCs w:val="24"/>
        </w:rPr>
        <w:t>Law</w:t>
      </w:r>
      <w:r w:rsidRPr="00630437">
        <w:rPr>
          <w:b/>
          <w:smallCaps/>
          <w:spacing w:val="-4"/>
          <w:sz w:val="24"/>
          <w:szCs w:val="24"/>
        </w:rPr>
        <w:t xml:space="preserve"> </w:t>
      </w:r>
      <w:r w:rsidRPr="00630437">
        <w:rPr>
          <w:b/>
          <w:smallCaps/>
          <w:sz w:val="24"/>
          <w:szCs w:val="24"/>
        </w:rPr>
        <w:t>Institute</w:t>
      </w:r>
      <w:r w:rsidRPr="00630437">
        <w:rPr>
          <w:sz w:val="24"/>
          <w:szCs w:val="24"/>
        </w:rPr>
        <w:t>,</w:t>
      </w:r>
      <w:r w:rsidRPr="00630437">
        <w:rPr>
          <w:spacing w:val="-6"/>
          <w:sz w:val="24"/>
          <w:szCs w:val="24"/>
        </w:rPr>
        <w:t xml:space="preserve"> </w:t>
      </w:r>
      <w:r w:rsidRPr="00630437">
        <w:t>New</w:t>
      </w:r>
      <w:r w:rsidRPr="00630437">
        <w:rPr>
          <w:spacing w:val="-5"/>
        </w:rPr>
        <w:t xml:space="preserve"> </w:t>
      </w:r>
      <w:r w:rsidRPr="00630437">
        <w:t>Delhi,</w:t>
      </w:r>
      <w:r w:rsidRPr="00630437">
        <w:rPr>
          <w:spacing w:val="-8"/>
        </w:rPr>
        <w:t xml:space="preserve"> </w:t>
      </w:r>
      <w:r w:rsidRPr="00630437">
        <w:rPr>
          <w:spacing w:val="-2"/>
        </w:rPr>
        <w:t>India</w:t>
      </w:r>
    </w:p>
    <w:p w:rsidRPr="00630437" w:rsidR="008C2E9C" w:rsidP="001622BF" w:rsidRDefault="007C75FB" w14:paraId="021D7A22" w14:textId="76F72E52">
      <w:pPr>
        <w:pStyle w:val="BodyText"/>
        <w:spacing w:after="240"/>
        <w:ind w:right="299"/>
      </w:pPr>
      <w:r w:rsidRPr="00630437">
        <w:rPr>
          <w:i/>
        </w:rPr>
        <w:t>Visiting</w:t>
      </w:r>
      <w:r w:rsidRPr="00630437">
        <w:rPr>
          <w:i/>
          <w:spacing w:val="-2"/>
        </w:rPr>
        <w:t xml:space="preserve"> </w:t>
      </w:r>
      <w:r w:rsidRPr="00630437">
        <w:rPr>
          <w:i/>
        </w:rPr>
        <w:t>Scholar</w:t>
      </w:r>
      <w:r w:rsidRPr="00630437">
        <w:rPr>
          <w:i/>
          <w:spacing w:val="-1"/>
        </w:rPr>
        <w:t xml:space="preserve"> </w:t>
      </w:r>
      <w:r w:rsidRPr="00630437">
        <w:t>(1983-84).</w:t>
      </w:r>
      <w:r w:rsidRPr="00630437">
        <w:rPr>
          <w:spacing w:val="40"/>
        </w:rPr>
        <w:t xml:space="preserve"> </w:t>
      </w:r>
      <w:r w:rsidRPr="00630437">
        <w:t>Undertook</w:t>
      </w:r>
      <w:r w:rsidRPr="00630437">
        <w:rPr>
          <w:spacing w:val="-5"/>
        </w:rPr>
        <w:t xml:space="preserve"> </w:t>
      </w:r>
      <w:r w:rsidRPr="00630437">
        <w:t>research</w:t>
      </w:r>
      <w:r w:rsidRPr="00630437">
        <w:rPr>
          <w:spacing w:val="-2"/>
        </w:rPr>
        <w:t xml:space="preserve"> </w:t>
      </w:r>
      <w:r w:rsidRPr="00630437">
        <w:t>on</w:t>
      </w:r>
      <w:r w:rsidRPr="00630437">
        <w:rPr>
          <w:spacing w:val="-4"/>
        </w:rPr>
        <w:t xml:space="preserve"> </w:t>
      </w:r>
      <w:r w:rsidRPr="00630437">
        <w:t>the</w:t>
      </w:r>
      <w:r w:rsidRPr="00630437">
        <w:rPr>
          <w:spacing w:val="-4"/>
        </w:rPr>
        <w:t xml:space="preserve"> </w:t>
      </w:r>
      <w:r w:rsidRPr="00630437">
        <w:t>governance</w:t>
      </w:r>
      <w:r w:rsidRPr="00630437">
        <w:rPr>
          <w:spacing w:val="-2"/>
        </w:rPr>
        <w:t xml:space="preserve"> </w:t>
      </w:r>
      <w:r w:rsidRPr="00630437">
        <w:t>of</w:t>
      </w:r>
      <w:r w:rsidRPr="00630437">
        <w:rPr>
          <w:spacing w:val="-3"/>
        </w:rPr>
        <w:t xml:space="preserve"> </w:t>
      </w:r>
      <w:r w:rsidRPr="00630437" w:rsidR="004B22E8">
        <w:rPr>
          <w:spacing w:val="-3"/>
        </w:rPr>
        <w:t xml:space="preserve">Indian </w:t>
      </w:r>
      <w:r w:rsidRPr="00630437">
        <w:t>public</w:t>
      </w:r>
      <w:r w:rsidRPr="00630437">
        <w:rPr>
          <w:spacing w:val="-4"/>
        </w:rPr>
        <w:t xml:space="preserve"> </w:t>
      </w:r>
      <w:r w:rsidRPr="00630437">
        <w:t>enterprises,</w:t>
      </w:r>
      <w:r w:rsidRPr="00630437">
        <w:rPr>
          <w:spacing w:val="-3"/>
        </w:rPr>
        <w:t xml:space="preserve"> </w:t>
      </w:r>
      <w:r w:rsidRPr="00630437">
        <w:t>the</w:t>
      </w:r>
      <w:r w:rsidRPr="00630437">
        <w:rPr>
          <w:spacing w:val="-4"/>
        </w:rPr>
        <w:t xml:space="preserve"> </w:t>
      </w:r>
      <w:r w:rsidRPr="00630437">
        <w:t>foreign investment regulatory regime, and selected topics in Indian constitutional law, funded by a grant administered by the University of California, Berkeley.</w:t>
      </w:r>
    </w:p>
    <w:p w:rsidRPr="00630437" w:rsidR="008C2E9C" w:rsidP="004821B6" w:rsidRDefault="007C75FB" w14:paraId="3FE308D9" w14:textId="77777777">
      <w:pPr>
        <w:pStyle w:val="Heading1"/>
        <w:spacing w:before="0" w:after="120"/>
        <w:ind w:left="0"/>
      </w:pPr>
      <w:r w:rsidRPr="00630437">
        <w:rPr>
          <w:smallCaps/>
          <w:spacing w:val="-2"/>
        </w:rPr>
        <w:t>Harvard</w:t>
      </w:r>
      <w:r w:rsidRPr="00630437">
        <w:rPr>
          <w:smallCaps/>
        </w:rPr>
        <w:t xml:space="preserve"> </w:t>
      </w:r>
      <w:r w:rsidRPr="00630437">
        <w:rPr>
          <w:smallCaps/>
          <w:spacing w:val="-2"/>
        </w:rPr>
        <w:t>University</w:t>
      </w:r>
    </w:p>
    <w:p w:rsidRPr="00630437" w:rsidR="008C2E9C" w:rsidP="001622BF" w:rsidRDefault="007C75FB" w14:paraId="03D743E8" w14:textId="7869DFD1">
      <w:pPr>
        <w:pStyle w:val="BodyText"/>
        <w:spacing w:after="240"/>
      </w:pPr>
      <w:r w:rsidRPr="00630437">
        <w:rPr>
          <w:i/>
        </w:rPr>
        <w:t>Teaching</w:t>
      </w:r>
      <w:r w:rsidRPr="00630437">
        <w:rPr>
          <w:i/>
          <w:spacing w:val="-2"/>
        </w:rPr>
        <w:t xml:space="preserve"> </w:t>
      </w:r>
      <w:r w:rsidRPr="00630437" w:rsidR="004821B6">
        <w:rPr>
          <w:i/>
          <w:spacing w:val="-2"/>
        </w:rPr>
        <w:t>Fellow</w:t>
      </w:r>
      <w:r w:rsidRPr="00630437">
        <w:rPr>
          <w:i/>
          <w:spacing w:val="-1"/>
        </w:rPr>
        <w:t xml:space="preserve"> </w:t>
      </w:r>
      <w:r w:rsidRPr="00630437">
        <w:t>(1982-1983)</w:t>
      </w:r>
      <w:r w:rsidRPr="00630437" w:rsidR="004821B6">
        <w:t>, teaching sections of</w:t>
      </w:r>
      <w:r w:rsidRPr="00630437">
        <w:rPr>
          <w:spacing w:val="-2"/>
        </w:rPr>
        <w:t xml:space="preserve"> </w:t>
      </w:r>
      <w:r w:rsidRPr="00630437">
        <w:t>courses</w:t>
      </w:r>
      <w:r w:rsidRPr="00630437">
        <w:rPr>
          <w:spacing w:val="-2"/>
        </w:rPr>
        <w:t xml:space="preserve"> </w:t>
      </w:r>
      <w:r w:rsidRPr="00630437">
        <w:t>on</w:t>
      </w:r>
      <w:r w:rsidRPr="00630437">
        <w:rPr>
          <w:spacing w:val="-3"/>
        </w:rPr>
        <w:t xml:space="preserve"> </w:t>
      </w:r>
      <w:r w:rsidRPr="00630437">
        <w:t>“War”</w:t>
      </w:r>
      <w:r w:rsidRPr="00630437">
        <w:rPr>
          <w:spacing w:val="-4"/>
        </w:rPr>
        <w:t xml:space="preserve"> </w:t>
      </w:r>
      <w:r w:rsidRPr="00630437">
        <w:t>(Prof</w:t>
      </w:r>
      <w:r w:rsidRPr="00630437" w:rsidR="004821B6">
        <w:t>essors</w:t>
      </w:r>
      <w:r w:rsidRPr="00630437">
        <w:rPr>
          <w:spacing w:val="-2"/>
        </w:rPr>
        <w:t xml:space="preserve"> </w:t>
      </w:r>
      <w:r w:rsidRPr="00630437">
        <w:t>Stanley</w:t>
      </w:r>
      <w:r w:rsidRPr="00630437">
        <w:rPr>
          <w:spacing w:val="-2"/>
        </w:rPr>
        <w:t xml:space="preserve"> </w:t>
      </w:r>
      <w:r w:rsidRPr="00630437">
        <w:t>Hoffmann</w:t>
      </w:r>
      <w:r w:rsidRPr="00630437">
        <w:rPr>
          <w:spacing w:val="-4"/>
        </w:rPr>
        <w:t xml:space="preserve"> </w:t>
      </w:r>
      <w:r w:rsidRPr="00630437">
        <w:t>and</w:t>
      </w:r>
      <w:r w:rsidRPr="00630437">
        <w:rPr>
          <w:spacing w:val="-4"/>
        </w:rPr>
        <w:t xml:space="preserve"> </w:t>
      </w:r>
      <w:r w:rsidRPr="00630437">
        <w:t>Michael Mandelbaum) and the “United States in World Affairs” (Prof</w:t>
      </w:r>
      <w:r w:rsidRPr="00630437" w:rsidR="004821B6">
        <w:t>essors</w:t>
      </w:r>
      <w:r w:rsidRPr="00630437">
        <w:t xml:space="preserve"> Hoffman</w:t>
      </w:r>
      <w:r w:rsidR="00BE0AC2">
        <w:t>n</w:t>
      </w:r>
      <w:r w:rsidRPr="00630437">
        <w:t xml:space="preserve"> and Guido Goldman).</w:t>
      </w:r>
    </w:p>
    <w:p w:rsidRPr="00630437" w:rsidR="008C2E9C" w:rsidP="001622BF" w:rsidRDefault="007C75FB" w14:paraId="72A13043" w14:textId="45938FCB">
      <w:pPr>
        <w:spacing w:after="240"/>
        <w:rPr>
          <w:i/>
        </w:rPr>
      </w:pPr>
      <w:r w:rsidRPr="00630437">
        <w:rPr>
          <w:i/>
          <w:spacing w:val="-2"/>
        </w:rPr>
        <w:t>Education:</w:t>
      </w:r>
    </w:p>
    <w:p w:rsidRPr="00630437" w:rsidR="008C2E9C" w:rsidP="001622BF" w:rsidRDefault="007C75FB" w14:paraId="2CC561F8" w14:textId="06671FE8">
      <w:pPr>
        <w:spacing w:after="240"/>
      </w:pPr>
      <w:r w:rsidRPr="00630437">
        <w:rPr>
          <w:b/>
          <w:smallCaps/>
          <w:sz w:val="24"/>
          <w:szCs w:val="24"/>
        </w:rPr>
        <w:t>Harvard</w:t>
      </w:r>
      <w:r w:rsidRPr="00630437">
        <w:rPr>
          <w:b/>
          <w:smallCaps/>
          <w:spacing w:val="-5"/>
          <w:sz w:val="24"/>
          <w:szCs w:val="24"/>
        </w:rPr>
        <w:t xml:space="preserve"> </w:t>
      </w:r>
      <w:r w:rsidRPr="00630437">
        <w:rPr>
          <w:b/>
          <w:smallCaps/>
          <w:sz w:val="24"/>
          <w:szCs w:val="24"/>
        </w:rPr>
        <w:t>Law</w:t>
      </w:r>
      <w:r w:rsidRPr="00630437">
        <w:rPr>
          <w:b/>
          <w:smallCaps/>
          <w:spacing w:val="-4"/>
          <w:sz w:val="24"/>
          <w:szCs w:val="24"/>
        </w:rPr>
        <w:t xml:space="preserve"> </w:t>
      </w:r>
      <w:r w:rsidRPr="00630437">
        <w:rPr>
          <w:b/>
          <w:smallCaps/>
          <w:sz w:val="24"/>
          <w:szCs w:val="24"/>
        </w:rPr>
        <w:t>School</w:t>
      </w:r>
      <w:r w:rsidRPr="00630437">
        <w:t>,</w:t>
      </w:r>
      <w:r w:rsidRPr="00630437">
        <w:rPr>
          <w:spacing w:val="-4"/>
        </w:rPr>
        <w:t xml:space="preserve"> </w:t>
      </w:r>
      <w:r w:rsidRPr="00630437">
        <w:t>J.D.</w:t>
      </w:r>
      <w:r w:rsidRPr="00630437">
        <w:rPr>
          <w:spacing w:val="-5"/>
        </w:rPr>
        <w:t xml:space="preserve"> </w:t>
      </w:r>
      <w:r w:rsidRPr="00630437">
        <w:rPr>
          <w:spacing w:val="-2"/>
        </w:rPr>
        <w:t>1983</w:t>
      </w:r>
    </w:p>
    <w:p w:rsidRPr="00630437" w:rsidR="008C2E9C" w:rsidP="001622BF" w:rsidRDefault="007C75FB" w14:paraId="2B4C22AA" w14:textId="46758CC9">
      <w:pPr>
        <w:spacing w:after="240"/>
      </w:pPr>
      <w:r w:rsidRPr="00630437">
        <w:rPr>
          <w:b/>
          <w:smallCaps/>
          <w:sz w:val="24"/>
          <w:szCs w:val="24"/>
        </w:rPr>
        <w:t>Harvard</w:t>
      </w:r>
      <w:r w:rsidRPr="00630437">
        <w:rPr>
          <w:b/>
          <w:smallCaps/>
          <w:spacing w:val="-5"/>
          <w:sz w:val="24"/>
          <w:szCs w:val="24"/>
        </w:rPr>
        <w:t xml:space="preserve"> </w:t>
      </w:r>
      <w:r w:rsidRPr="00630437">
        <w:rPr>
          <w:b/>
          <w:smallCaps/>
          <w:sz w:val="24"/>
          <w:szCs w:val="24"/>
        </w:rPr>
        <w:t>College</w:t>
      </w:r>
      <w:r w:rsidRPr="00630437">
        <w:t>,</w:t>
      </w:r>
      <w:r w:rsidRPr="00630437">
        <w:rPr>
          <w:spacing w:val="-5"/>
        </w:rPr>
        <w:t xml:space="preserve"> </w:t>
      </w:r>
      <w:r w:rsidRPr="00630437">
        <w:t>A.B.</w:t>
      </w:r>
      <w:r w:rsidRPr="00630437">
        <w:rPr>
          <w:spacing w:val="-4"/>
        </w:rPr>
        <w:t xml:space="preserve"> </w:t>
      </w:r>
      <w:r w:rsidR="00BE0AC2">
        <w:rPr>
          <w:spacing w:val="-2"/>
        </w:rPr>
        <w:t>1</w:t>
      </w:r>
      <w:r w:rsidRPr="00630437">
        <w:rPr>
          <w:spacing w:val="-2"/>
        </w:rPr>
        <w:t>980</w:t>
      </w:r>
    </w:p>
    <w:p w:rsidRPr="00630437" w:rsidR="001622BF" w:rsidP="001622BF" w:rsidRDefault="007524C8" w14:paraId="6CD3D18E" w14:textId="3C416ADA">
      <w:pPr>
        <w:pStyle w:val="BodyText"/>
        <w:spacing w:after="240"/>
        <w:rPr>
          <w:i/>
          <w:iCs/>
        </w:rPr>
      </w:pPr>
      <w:r w:rsidRPr="00630437">
        <w:rPr>
          <w:i/>
          <w:iCs/>
        </w:rPr>
        <w:t xml:space="preserve">Articles and </w:t>
      </w:r>
      <w:r w:rsidRPr="00630437" w:rsidR="004821B6">
        <w:rPr>
          <w:i/>
          <w:iCs/>
        </w:rPr>
        <w:t xml:space="preserve">papers </w:t>
      </w:r>
      <w:r w:rsidRPr="00630437">
        <w:rPr>
          <w:i/>
          <w:iCs/>
        </w:rPr>
        <w:t>present</w:t>
      </w:r>
      <w:r w:rsidRPr="00630437" w:rsidR="004821B6">
        <w:rPr>
          <w:i/>
          <w:iCs/>
        </w:rPr>
        <w:t>ed</w:t>
      </w:r>
    </w:p>
    <w:p w:rsidRPr="00630437" w:rsidR="001622BF" w:rsidP="001622BF" w:rsidRDefault="001622BF" w14:paraId="151B1D6A" w14:textId="77777777">
      <w:pPr>
        <w:pStyle w:val="BodyText"/>
        <w:spacing w:after="240"/>
        <w:rPr>
          <w:color w:val="292929"/>
          <w:shd w:val="clear" w:color="auto" w:fill="FFFFFF"/>
        </w:rPr>
      </w:pPr>
      <w:r w:rsidRPr="00630437">
        <w:rPr>
          <w:color w:val="292929"/>
          <w:shd w:val="clear" w:color="auto" w:fill="FFFFFF"/>
        </w:rPr>
        <w:t xml:space="preserve">“The EU Due Diligence Directive: Implications for U.S. Companies,” </w:t>
      </w:r>
      <w:r w:rsidRPr="00630437">
        <w:rPr>
          <w:i/>
          <w:iCs/>
          <w:color w:val="292929"/>
          <w:shd w:val="clear" w:color="auto" w:fill="FFFFFF"/>
        </w:rPr>
        <w:t>Business Law Today</w:t>
      </w:r>
      <w:r w:rsidRPr="00630437">
        <w:rPr>
          <w:color w:val="292929"/>
          <w:shd w:val="clear" w:color="auto" w:fill="FFFFFF"/>
        </w:rPr>
        <w:t xml:space="preserve"> (an ABA publication; July 15, 2024), </w:t>
      </w:r>
      <w:r w:rsidRPr="00630437">
        <w:rPr>
          <w:i/>
          <w:iCs/>
          <w:color w:val="292929"/>
          <w:shd w:val="clear" w:color="auto" w:fill="FFFFFF"/>
        </w:rPr>
        <w:t>avail. at</w:t>
      </w:r>
      <w:r w:rsidRPr="00630437">
        <w:rPr>
          <w:color w:val="292929"/>
          <w:shd w:val="clear" w:color="auto" w:fill="FFFFFF"/>
        </w:rPr>
        <w:t xml:space="preserve"> </w:t>
      </w:r>
      <w:hyperlink w:history="1" r:id="rId8">
        <w:r w:rsidRPr="00630437">
          <w:rPr>
            <w:rStyle w:val="Hyperlink"/>
            <w:shd w:val="clear" w:color="auto" w:fill="FFFFFF"/>
          </w:rPr>
          <w:t>https://businesslawtoday.org/2024/07/the-eu-due-diligence-directive-implications-for-u-s-companies/</w:t>
        </w:r>
      </w:hyperlink>
      <w:r w:rsidRPr="00630437">
        <w:rPr>
          <w:color w:val="292929"/>
          <w:shd w:val="clear" w:color="auto" w:fill="FFFFFF"/>
        </w:rPr>
        <w:t xml:space="preserve"> </w:t>
      </w:r>
    </w:p>
    <w:p w:rsidRPr="00630437" w:rsidR="001622BF" w:rsidP="001622BF" w:rsidRDefault="001622BF" w14:paraId="4C44237B" w14:textId="77777777">
      <w:pPr>
        <w:pStyle w:val="BodyText"/>
        <w:spacing w:after="240"/>
        <w:rPr>
          <w:color w:val="292929"/>
          <w:shd w:val="clear" w:color="auto" w:fill="FFFFFF"/>
        </w:rPr>
      </w:pPr>
      <w:r w:rsidRPr="00630437">
        <w:rPr>
          <w:color w:val="292929"/>
          <w:shd w:val="clear" w:color="auto" w:fill="FFFFFF"/>
        </w:rPr>
        <w:t xml:space="preserve">D. Lakhdhir &amp; A. Maguire, “EU due diligence directive: An impending legal culture clash,” </w:t>
      </w:r>
      <w:r w:rsidRPr="00630437">
        <w:rPr>
          <w:i/>
          <w:iCs/>
          <w:color w:val="292929"/>
          <w:shd w:val="clear" w:color="auto" w:fill="FFFFFF"/>
        </w:rPr>
        <w:t>Westlaw Today</w:t>
      </w:r>
      <w:r w:rsidRPr="00630437">
        <w:rPr>
          <w:color w:val="292929"/>
          <w:shd w:val="clear" w:color="auto" w:fill="FFFFFF"/>
        </w:rPr>
        <w:t xml:space="preserve"> (April 5, 2024), </w:t>
      </w:r>
      <w:r w:rsidRPr="00630437">
        <w:rPr>
          <w:i/>
          <w:iCs/>
          <w:color w:val="292929"/>
          <w:shd w:val="clear" w:color="auto" w:fill="FFFFFF"/>
        </w:rPr>
        <w:t>avail. at</w:t>
      </w:r>
      <w:r w:rsidRPr="00630437">
        <w:rPr>
          <w:color w:val="292929"/>
          <w:shd w:val="clear" w:color="auto" w:fill="FFFFFF"/>
        </w:rPr>
        <w:t xml:space="preserve"> </w:t>
      </w:r>
      <w:hyperlink w:history="1" r:id="rId9">
        <w:r w:rsidRPr="00630437">
          <w:rPr>
            <w:rStyle w:val="Hyperlink"/>
            <w:shd w:val="clear" w:color="auto" w:fill="FFFFFF"/>
          </w:rPr>
          <w:t>https://today.westlaw.com/Document/Ib09f6f5df32211ee8921fbef1a541940/View/FullText.html?transitionType=Default&amp;contextData=(sc.Default)&amp;VR=3.0&amp;RS=cblt1.0&amp;firstPage=true</w:t>
        </w:r>
      </w:hyperlink>
      <w:r w:rsidRPr="00630437">
        <w:rPr>
          <w:color w:val="292929"/>
          <w:shd w:val="clear" w:color="auto" w:fill="FFFFFF"/>
        </w:rPr>
        <w:t xml:space="preserve"> </w:t>
      </w:r>
    </w:p>
    <w:p w:rsidRPr="00630437" w:rsidR="001622BF" w:rsidP="001622BF" w:rsidRDefault="001622BF" w14:paraId="6D11F375" w14:textId="77777777">
      <w:pPr>
        <w:pStyle w:val="BodyText"/>
        <w:spacing w:after="240"/>
      </w:pPr>
      <w:r w:rsidRPr="00630437">
        <w:rPr>
          <w:color w:val="292929"/>
          <w:shd w:val="clear" w:color="auto" w:fill="FFFFFF"/>
        </w:rPr>
        <w:t>“</w:t>
      </w:r>
      <w:r w:rsidRPr="00630437">
        <w:t xml:space="preserve">EU’s Carbon Border Adjustment Mechanism may force Congress to consider a carbon tax,” </w:t>
      </w:r>
      <w:r w:rsidRPr="00630437">
        <w:rPr>
          <w:i/>
          <w:iCs/>
        </w:rPr>
        <w:t>New York L. J.</w:t>
      </w:r>
      <w:r w:rsidRPr="00630437">
        <w:t xml:space="preserve"> (Aug. 4, 2022), </w:t>
      </w:r>
      <w:r w:rsidRPr="00630437">
        <w:rPr>
          <w:i/>
          <w:iCs/>
        </w:rPr>
        <w:t>avail. at</w:t>
      </w:r>
      <w:r w:rsidRPr="00630437">
        <w:t xml:space="preserve"> </w:t>
      </w:r>
      <w:hyperlink w:history="1" r:id="rId10">
        <w:r w:rsidRPr="00630437">
          <w:rPr>
            <w:rStyle w:val="Hyperlink"/>
          </w:rPr>
          <w:t>https://www.law.com/newyorklawjournal/2022/08/04/eus-carbon-border-adjustment-mechanism-may-force-congress-to-consider-a-carbon-tax/</w:t>
        </w:r>
      </w:hyperlink>
      <w:r w:rsidRPr="00630437">
        <w:t xml:space="preserve"> </w:t>
      </w:r>
    </w:p>
    <w:p w:rsidRPr="00630437" w:rsidR="001622BF" w:rsidP="001622BF" w:rsidRDefault="001622BF" w14:paraId="64B5BE2C" w14:textId="3CA02912">
      <w:pPr>
        <w:pStyle w:val="BodyText"/>
        <w:spacing w:after="240"/>
        <w:rPr>
          <w:color w:val="292929"/>
          <w:shd w:val="clear" w:color="auto" w:fill="FFFFFF"/>
        </w:rPr>
      </w:pPr>
      <w:r w:rsidRPr="00630437">
        <w:rPr>
          <w:color w:val="292929"/>
          <w:shd w:val="clear" w:color="auto" w:fill="FFFFFF"/>
        </w:rPr>
        <w:lastRenderedPageBreak/>
        <w:t xml:space="preserve">“New U.S. Law Imposes </w:t>
      </w:r>
      <w:r w:rsidRPr="00630437">
        <w:rPr>
          <w:i/>
          <w:iCs/>
          <w:color w:val="292929"/>
          <w:shd w:val="clear" w:color="auto" w:fill="FFFFFF"/>
        </w:rPr>
        <w:t>De Facto</w:t>
      </w:r>
      <w:r w:rsidRPr="00630437">
        <w:rPr>
          <w:color w:val="292929"/>
          <w:shd w:val="clear" w:color="auto" w:fill="FFFFFF"/>
        </w:rPr>
        <w:t xml:space="preserve"> Import Ban on Products </w:t>
      </w:r>
      <w:r w:rsidR="00166F69">
        <w:rPr>
          <w:color w:val="292929"/>
          <w:shd w:val="clear" w:color="auto" w:fill="FFFFFF"/>
        </w:rPr>
        <w:t>f</w:t>
      </w:r>
      <w:r w:rsidRPr="00630437">
        <w:rPr>
          <w:color w:val="292929"/>
          <w:shd w:val="clear" w:color="auto" w:fill="FFFFFF"/>
        </w:rPr>
        <w:t xml:space="preserve">rom Xinjiang,” </w:t>
      </w:r>
      <w:r w:rsidRPr="00630437">
        <w:rPr>
          <w:rStyle w:val="Emphasis"/>
          <w:color w:val="292929"/>
          <w:shd w:val="clear" w:color="auto" w:fill="FFFFFF"/>
        </w:rPr>
        <w:t>New York L.J.</w:t>
      </w:r>
      <w:r w:rsidRPr="00630437">
        <w:rPr>
          <w:color w:val="292929"/>
          <w:shd w:val="clear" w:color="auto" w:fill="FFFFFF"/>
        </w:rPr>
        <w:t xml:space="preserve"> (Jan. 7, 2022), </w:t>
      </w:r>
      <w:r w:rsidRPr="00630437">
        <w:rPr>
          <w:i/>
          <w:iCs/>
          <w:color w:val="292929"/>
          <w:shd w:val="clear" w:color="auto" w:fill="FFFFFF"/>
        </w:rPr>
        <w:t>avail. at</w:t>
      </w:r>
      <w:r w:rsidRPr="00630437">
        <w:rPr>
          <w:color w:val="292929"/>
          <w:shd w:val="clear" w:color="auto" w:fill="FFFFFF"/>
        </w:rPr>
        <w:t xml:space="preserve"> </w:t>
      </w:r>
      <w:hyperlink w:history="1" r:id="rId11">
        <w:r w:rsidRPr="00630437">
          <w:rPr>
            <w:rStyle w:val="Hyperlink"/>
            <w:shd w:val="clear" w:color="auto" w:fill="FFFFFF"/>
          </w:rPr>
          <w:t>https://www.law.com/newyorklawjournal/2022/01/07/new-u-s-law-imposes-de-facto-import-ban-on-products-from-xinjiang/?slreturn=20220626155406</w:t>
        </w:r>
      </w:hyperlink>
      <w:r w:rsidRPr="00630437">
        <w:rPr>
          <w:color w:val="292929"/>
          <w:shd w:val="clear" w:color="auto" w:fill="FFFFFF"/>
        </w:rPr>
        <w:t xml:space="preserve"> </w:t>
      </w:r>
    </w:p>
    <w:p w:rsidRPr="00630437" w:rsidR="001622BF" w:rsidP="001622BF" w:rsidRDefault="001622BF" w14:paraId="2B4D82C4" w14:textId="77777777">
      <w:pPr>
        <w:pStyle w:val="BodyText"/>
        <w:spacing w:after="240"/>
        <w:rPr>
          <w:color w:val="292929"/>
          <w:shd w:val="clear" w:color="auto" w:fill="FFFFFF"/>
        </w:rPr>
      </w:pPr>
      <w:r w:rsidRPr="00630437">
        <w:rPr>
          <w:color w:val="292929"/>
          <w:shd w:val="clear" w:color="auto" w:fill="FFFFFF"/>
        </w:rPr>
        <w:t xml:space="preserve">D. Lakhdhir &amp; M. Bergman, “U.S. Companies Must Prepare for EU Carbon Tax on Imports,” </w:t>
      </w:r>
      <w:r w:rsidRPr="00630437">
        <w:rPr>
          <w:i/>
          <w:iCs/>
          <w:color w:val="292929"/>
          <w:shd w:val="clear" w:color="auto" w:fill="FFFFFF"/>
        </w:rPr>
        <w:t>Law360</w:t>
      </w:r>
      <w:r w:rsidRPr="00630437">
        <w:rPr>
          <w:color w:val="292929"/>
          <w:shd w:val="clear" w:color="auto" w:fill="FFFFFF"/>
        </w:rPr>
        <w:t xml:space="preserve"> (Feb. 18, 2021), </w:t>
      </w:r>
      <w:r w:rsidRPr="00630437">
        <w:rPr>
          <w:i/>
          <w:iCs/>
          <w:color w:val="292929"/>
          <w:shd w:val="clear" w:color="auto" w:fill="FFFFFF"/>
        </w:rPr>
        <w:t>avail. at</w:t>
      </w:r>
      <w:r w:rsidRPr="00630437">
        <w:rPr>
          <w:color w:val="292929"/>
          <w:shd w:val="clear" w:color="auto" w:fill="FFFFFF"/>
        </w:rPr>
        <w:t xml:space="preserve"> </w:t>
      </w:r>
      <w:hyperlink w:history="1" r:id="rId12">
        <w:r w:rsidRPr="00630437">
          <w:rPr>
            <w:rStyle w:val="Hyperlink"/>
            <w:shd w:val="clear" w:color="auto" w:fill="FFFFFF"/>
          </w:rPr>
          <w:t>https://www.paulweiss.com/media/3980853/us_cos_must_prepare_for_eu_carbon_tax_on_imports.pdf</w:t>
        </w:r>
      </w:hyperlink>
      <w:r w:rsidRPr="00630437">
        <w:rPr>
          <w:color w:val="292929"/>
          <w:shd w:val="clear" w:color="auto" w:fill="FFFFFF"/>
        </w:rPr>
        <w:t xml:space="preserve"> </w:t>
      </w:r>
    </w:p>
    <w:p w:rsidRPr="00630437" w:rsidR="001622BF" w:rsidP="001622BF" w:rsidRDefault="001622BF" w14:paraId="579E5871" w14:textId="77777777">
      <w:pPr>
        <w:pStyle w:val="BodyText"/>
        <w:spacing w:after="240"/>
        <w:rPr>
          <w:color w:val="292929"/>
          <w:shd w:val="clear" w:color="auto" w:fill="FFFFFF"/>
        </w:rPr>
      </w:pPr>
      <w:r w:rsidRPr="00630437">
        <w:rPr>
          <w:color w:val="292929"/>
          <w:shd w:val="clear" w:color="auto" w:fill="FFFFFF"/>
        </w:rPr>
        <w:t xml:space="preserve">D. Lakhdhir &amp; M. Bergman, “U.S. Companies Must Prepare for EU Human Rights and Climate Policy,” </w:t>
      </w:r>
      <w:r w:rsidRPr="00630437">
        <w:rPr>
          <w:i/>
          <w:iCs/>
          <w:color w:val="292929"/>
          <w:shd w:val="clear" w:color="auto" w:fill="FFFFFF"/>
        </w:rPr>
        <w:t>Law360</w:t>
      </w:r>
      <w:r w:rsidRPr="00630437">
        <w:rPr>
          <w:color w:val="292929"/>
          <w:shd w:val="clear" w:color="auto" w:fill="FFFFFF"/>
        </w:rPr>
        <w:t xml:space="preserve"> (Feb. 11, 2021), </w:t>
      </w:r>
      <w:r w:rsidRPr="00630437">
        <w:rPr>
          <w:i/>
          <w:iCs/>
          <w:color w:val="292929"/>
          <w:shd w:val="clear" w:color="auto" w:fill="FFFFFF"/>
        </w:rPr>
        <w:t>avail. at</w:t>
      </w:r>
      <w:r w:rsidRPr="00630437">
        <w:rPr>
          <w:color w:val="292929"/>
          <w:shd w:val="clear" w:color="auto" w:fill="FFFFFF"/>
        </w:rPr>
        <w:t xml:space="preserve"> </w:t>
      </w:r>
      <w:hyperlink w:history="1" r:id="rId13">
        <w:r w:rsidRPr="00630437">
          <w:rPr>
            <w:rStyle w:val="Hyperlink"/>
            <w:shd w:val="clear" w:color="auto" w:fill="FFFFFF"/>
          </w:rPr>
          <w:t>https://www.paulweiss.com/media/3980842/us_cos_must_prepare_for_eu_human_rights_and_climate_policy.pdf</w:t>
        </w:r>
      </w:hyperlink>
      <w:r w:rsidRPr="00630437">
        <w:rPr>
          <w:color w:val="292929"/>
          <w:shd w:val="clear" w:color="auto" w:fill="FFFFFF"/>
        </w:rPr>
        <w:t xml:space="preserve"> </w:t>
      </w:r>
    </w:p>
    <w:p w:rsidRPr="00630437" w:rsidR="001622BF" w:rsidP="001622BF" w:rsidRDefault="001622BF" w14:paraId="70B3CC93" w14:textId="4BAF4862">
      <w:pPr>
        <w:pStyle w:val="BodyText"/>
        <w:spacing w:after="240"/>
        <w:rPr>
          <w:color w:val="292929"/>
          <w:shd w:val="clear" w:color="auto" w:fill="FFFFFF"/>
        </w:rPr>
      </w:pPr>
      <w:r w:rsidRPr="00630437">
        <w:rPr>
          <w:color w:val="292929"/>
          <w:shd w:val="clear" w:color="auto" w:fill="FFFFFF"/>
        </w:rPr>
        <w:t xml:space="preserve">M. Bergman, D. Lakhdhir &amp; P. </w:t>
      </w:r>
      <w:r w:rsidR="00630437">
        <w:rPr>
          <w:color w:val="292929"/>
          <w:shd w:val="clear" w:color="auto" w:fill="FFFFFF"/>
        </w:rPr>
        <w:t>V</w:t>
      </w:r>
      <w:r w:rsidRPr="00630437">
        <w:rPr>
          <w:color w:val="292929"/>
          <w:shd w:val="clear" w:color="auto" w:fill="FFFFFF"/>
        </w:rPr>
        <w:t xml:space="preserve">az de Almeida, “UK and EU Reach Agreement on Trade: Key Takeaways” (Dec. 29, 2020), </w:t>
      </w:r>
      <w:r w:rsidRPr="00630437">
        <w:rPr>
          <w:i/>
          <w:iCs/>
          <w:color w:val="292929"/>
          <w:shd w:val="clear" w:color="auto" w:fill="FFFFFF"/>
        </w:rPr>
        <w:t>avail. at</w:t>
      </w:r>
      <w:r w:rsidRPr="00630437">
        <w:rPr>
          <w:color w:val="292929"/>
          <w:shd w:val="clear" w:color="auto" w:fill="FFFFFF"/>
        </w:rPr>
        <w:t xml:space="preserve"> </w:t>
      </w:r>
      <w:hyperlink w:history="1" r:id="rId14">
        <w:r w:rsidRPr="00630437">
          <w:rPr>
            <w:rStyle w:val="Hyperlink"/>
            <w:shd w:val="clear" w:color="auto" w:fill="FFFFFF"/>
          </w:rPr>
          <w:t>https://www.paulweiss.com/media/3980713/uk_and_eu_reach_agreement_on_trade_key_takeaways.pdf</w:t>
        </w:r>
      </w:hyperlink>
      <w:r w:rsidRPr="00630437">
        <w:rPr>
          <w:color w:val="292929"/>
          <w:shd w:val="clear" w:color="auto" w:fill="FFFFFF"/>
        </w:rPr>
        <w:t xml:space="preserve"> </w:t>
      </w:r>
    </w:p>
    <w:p w:rsidRPr="00630437" w:rsidR="001622BF" w:rsidP="001622BF" w:rsidRDefault="001622BF" w14:paraId="3CBC2853" w14:textId="77777777">
      <w:pPr>
        <w:pStyle w:val="BodyText"/>
        <w:spacing w:after="240"/>
        <w:rPr>
          <w:color w:val="292929"/>
          <w:shd w:val="clear" w:color="auto" w:fill="FFFFFF"/>
        </w:rPr>
      </w:pPr>
      <w:r w:rsidRPr="00630437">
        <w:rPr>
          <w:color w:val="292929"/>
          <w:shd w:val="clear" w:color="auto" w:fill="FFFFFF"/>
        </w:rPr>
        <w:t xml:space="preserve">M. Bergman &amp; D. Lakhdhir, “What does ‘Brexit’ really mean?” (Jan. 23, 2020), </w:t>
      </w:r>
      <w:r w:rsidRPr="00630437">
        <w:rPr>
          <w:i/>
          <w:iCs/>
          <w:color w:val="292929"/>
          <w:shd w:val="clear" w:color="auto" w:fill="FFFFFF"/>
        </w:rPr>
        <w:t>avail. at</w:t>
      </w:r>
      <w:r w:rsidRPr="00630437">
        <w:rPr>
          <w:color w:val="292929"/>
          <w:shd w:val="clear" w:color="auto" w:fill="FFFFFF"/>
        </w:rPr>
        <w:t xml:space="preserve"> </w:t>
      </w:r>
      <w:hyperlink w:history="1" r:id="rId15">
        <w:r w:rsidRPr="00630437">
          <w:rPr>
            <w:rStyle w:val="Hyperlink"/>
            <w:shd w:val="clear" w:color="auto" w:fill="FFFFFF"/>
          </w:rPr>
          <w:t>https://www.paulweiss.com/practices/region/europe/publications/brexit-update-what-does-brexit-really-mean?id=30526</w:t>
        </w:r>
      </w:hyperlink>
      <w:r w:rsidRPr="00630437">
        <w:rPr>
          <w:color w:val="292929"/>
          <w:shd w:val="clear" w:color="auto" w:fill="FFFFFF"/>
        </w:rPr>
        <w:t xml:space="preserve"> </w:t>
      </w:r>
    </w:p>
    <w:p w:rsidRPr="00630437" w:rsidR="001622BF" w:rsidP="001622BF" w:rsidRDefault="001622BF" w14:paraId="1963DAFC" w14:textId="77777777">
      <w:pPr>
        <w:pStyle w:val="BodyText"/>
        <w:spacing w:after="240"/>
        <w:rPr>
          <w:color w:val="292929"/>
          <w:shd w:val="clear" w:color="auto" w:fill="FFFFFF"/>
        </w:rPr>
      </w:pPr>
      <w:r w:rsidRPr="00630437">
        <w:rPr>
          <w:color w:val="292929"/>
          <w:shd w:val="clear" w:color="auto" w:fill="FFFFFF"/>
        </w:rPr>
        <w:t xml:space="preserve">M. Bergman &amp; D. Lakhdhir, “A ‘No-Deal’ Brexit: What could it mean, and can it be prevented?” (Aug. 16, 2019), </w:t>
      </w:r>
      <w:r w:rsidRPr="00630437">
        <w:rPr>
          <w:i/>
          <w:iCs/>
          <w:color w:val="292929"/>
          <w:shd w:val="clear" w:color="auto" w:fill="FFFFFF"/>
        </w:rPr>
        <w:t>avail. at</w:t>
      </w:r>
      <w:r w:rsidRPr="00630437">
        <w:rPr>
          <w:color w:val="292929"/>
          <w:shd w:val="clear" w:color="auto" w:fill="FFFFFF"/>
        </w:rPr>
        <w:t xml:space="preserve"> </w:t>
      </w:r>
      <w:hyperlink w:history="1" r:id="rId16">
        <w:r w:rsidRPr="00630437">
          <w:rPr>
            <w:rStyle w:val="Hyperlink"/>
            <w:shd w:val="clear" w:color="auto" w:fill="FFFFFF"/>
          </w:rPr>
          <w:t>https://www.paulweiss.com/practices/region/europe/publications/a-no-deal-brexit-what-could-it-mean-and-can-it-be-prevented?id=29152</w:t>
        </w:r>
      </w:hyperlink>
      <w:r w:rsidRPr="00630437">
        <w:rPr>
          <w:color w:val="292929"/>
          <w:shd w:val="clear" w:color="auto" w:fill="FFFFFF"/>
        </w:rPr>
        <w:t xml:space="preserve"> .</w:t>
      </w:r>
    </w:p>
    <w:p w:rsidRPr="00630437" w:rsidR="001622BF" w:rsidP="001622BF" w:rsidRDefault="001622BF" w14:paraId="26D4BF6E" w14:textId="77777777">
      <w:pPr>
        <w:pStyle w:val="BodyText"/>
        <w:spacing w:after="240"/>
        <w:rPr>
          <w:color w:val="292929"/>
          <w:shd w:val="clear" w:color="auto" w:fill="FFFFFF"/>
        </w:rPr>
      </w:pPr>
      <w:r w:rsidRPr="00630437">
        <w:rPr>
          <w:color w:val="292929"/>
          <w:shd w:val="clear" w:color="auto" w:fill="FFFFFF"/>
        </w:rPr>
        <w:t xml:space="preserve">M. Bergman &amp; D. Lakhdhir, “Risk of a ‘no deal’ Brexit: How should businesses respond?” (Aug. 29, 2018), </w:t>
      </w:r>
      <w:r w:rsidRPr="00630437">
        <w:rPr>
          <w:i/>
          <w:iCs/>
          <w:color w:val="292929"/>
          <w:shd w:val="clear" w:color="auto" w:fill="FFFFFF"/>
        </w:rPr>
        <w:t>avail. at</w:t>
      </w:r>
      <w:r w:rsidRPr="00630437">
        <w:rPr>
          <w:color w:val="292929"/>
          <w:shd w:val="clear" w:color="auto" w:fill="FFFFFF"/>
        </w:rPr>
        <w:t xml:space="preserve"> </w:t>
      </w:r>
      <w:hyperlink w:history="1" r:id="rId17">
        <w:r w:rsidRPr="00630437">
          <w:rPr>
            <w:rStyle w:val="Hyperlink"/>
            <w:shd w:val="clear" w:color="auto" w:fill="FFFFFF"/>
          </w:rPr>
          <w:t>https://www.paulweiss.com/practices/region/europe/publications/risk-of-a-no-deal-brexit-how-should-businesses-respond?id=26972</w:t>
        </w:r>
      </w:hyperlink>
      <w:r w:rsidRPr="00630437">
        <w:rPr>
          <w:color w:val="292929"/>
          <w:shd w:val="clear" w:color="auto" w:fill="FFFFFF"/>
        </w:rPr>
        <w:t xml:space="preserve"> </w:t>
      </w:r>
    </w:p>
    <w:p w:rsidRPr="00630437" w:rsidR="001622BF" w:rsidP="001622BF" w:rsidRDefault="001622BF" w14:paraId="4AC0962F" w14:textId="77777777">
      <w:pPr>
        <w:pStyle w:val="BodyText"/>
        <w:spacing w:after="240"/>
        <w:rPr>
          <w:rStyle w:val="Emphasis"/>
          <w:i w:val="0"/>
          <w:iCs w:val="0"/>
          <w:color w:val="292929"/>
          <w:shd w:val="clear" w:color="auto" w:fill="FFFFFF"/>
        </w:rPr>
      </w:pPr>
      <w:r w:rsidRPr="00630437">
        <w:rPr>
          <w:color w:val="292929"/>
          <w:shd w:val="clear" w:color="auto" w:fill="FFFFFF"/>
        </w:rPr>
        <w:t xml:space="preserve">M. Bergman &amp; D. Lakhdhir, "Brexit: Disclosure Implications for SEC Reporting Companies," published in </w:t>
      </w:r>
      <w:r w:rsidRPr="00630437">
        <w:rPr>
          <w:rStyle w:val="Emphasis"/>
          <w:color w:val="292929"/>
          <w:shd w:val="clear" w:color="auto" w:fill="FFFFFF"/>
        </w:rPr>
        <w:t xml:space="preserve">Insights: The Corporate &amp; Securities Law Advisor </w:t>
      </w:r>
      <w:r w:rsidRPr="00630437">
        <w:rPr>
          <w:color w:val="292929"/>
          <w:shd w:val="clear" w:color="auto" w:fill="FFFFFF"/>
        </w:rPr>
        <w:t>(July 2016)</w:t>
      </w:r>
      <w:r w:rsidRPr="00630437">
        <w:rPr>
          <w:rStyle w:val="Emphasis"/>
          <w:color w:val="292929"/>
          <w:shd w:val="clear" w:color="auto" w:fill="FFFFFF"/>
        </w:rPr>
        <w:t>,</w:t>
      </w:r>
      <w:r w:rsidRPr="00630437">
        <w:rPr>
          <w:color w:val="292929"/>
          <w:shd w:val="clear" w:color="auto" w:fill="FFFFFF"/>
        </w:rPr>
        <w:t> the </w:t>
      </w:r>
      <w:r w:rsidRPr="00630437">
        <w:rPr>
          <w:rStyle w:val="Emphasis"/>
          <w:color w:val="292929"/>
          <w:shd w:val="clear" w:color="auto" w:fill="FFFFFF"/>
        </w:rPr>
        <w:t>Corporate Governance Advisor</w:t>
      </w:r>
      <w:r w:rsidRPr="00630437">
        <w:rPr>
          <w:color w:val="292929"/>
          <w:shd w:val="clear" w:color="auto" w:fill="FFFFFF"/>
        </w:rPr>
        <w:t> (July 2016), and reprinted on the </w:t>
      </w:r>
      <w:r w:rsidRPr="00630437">
        <w:rPr>
          <w:rStyle w:val="Emphasis"/>
          <w:color w:val="292929"/>
          <w:shd w:val="clear" w:color="auto" w:fill="FFFFFF"/>
        </w:rPr>
        <w:t>Law360 website</w:t>
      </w:r>
    </w:p>
    <w:p w:rsidRPr="00630437" w:rsidR="001622BF" w:rsidP="001622BF" w:rsidRDefault="001622BF" w14:paraId="594E5DE4" w14:textId="77777777">
      <w:pPr>
        <w:pStyle w:val="BodyText"/>
        <w:spacing w:after="240"/>
        <w:rPr>
          <w:color w:val="292929"/>
          <w:shd w:val="clear" w:color="auto" w:fill="FFFFFF"/>
        </w:rPr>
      </w:pPr>
      <w:r w:rsidRPr="00630437">
        <w:rPr>
          <w:color w:val="292929"/>
          <w:shd w:val="clear" w:color="auto" w:fill="FFFFFF"/>
        </w:rPr>
        <w:t xml:space="preserve">D. Lakhdhir, M. Hong &amp; D. Sicular, “United States” chapter in </w:t>
      </w:r>
      <w:r w:rsidRPr="00630437">
        <w:rPr>
          <w:smallCaps/>
          <w:color w:val="292929"/>
          <w:shd w:val="clear" w:color="auto" w:fill="FFFFFF"/>
        </w:rPr>
        <w:t>Private Equity: Jurisdictional Comparisons</w:t>
      </w:r>
      <w:r w:rsidRPr="00630437">
        <w:rPr>
          <w:color w:val="292929"/>
          <w:shd w:val="clear" w:color="auto" w:fill="FFFFFF"/>
        </w:rPr>
        <w:t xml:space="preserve"> (2</w:t>
      </w:r>
      <w:r w:rsidRPr="00630437">
        <w:rPr>
          <w:color w:val="292929"/>
          <w:shd w:val="clear" w:color="auto" w:fill="FFFFFF"/>
          <w:vertAlign w:val="superscript"/>
        </w:rPr>
        <w:t>nd</w:t>
      </w:r>
      <w:r w:rsidRPr="00630437">
        <w:rPr>
          <w:color w:val="292929"/>
          <w:shd w:val="clear" w:color="auto" w:fill="FFFFFF"/>
        </w:rPr>
        <w:t xml:space="preserve"> ed. 2014)</w:t>
      </w:r>
    </w:p>
    <w:p w:rsidRPr="00630437" w:rsidR="001622BF" w:rsidP="001622BF" w:rsidRDefault="001622BF" w14:paraId="2E74E559" w14:textId="77777777">
      <w:pPr>
        <w:pStyle w:val="BodyText"/>
        <w:spacing w:after="240"/>
        <w:rPr>
          <w:color w:val="292929"/>
          <w:shd w:val="clear" w:color="auto" w:fill="FFFFFF"/>
        </w:rPr>
      </w:pPr>
      <w:r w:rsidRPr="00630437">
        <w:rPr>
          <w:color w:val="292929"/>
          <w:shd w:val="clear" w:color="auto" w:fill="FFFFFF"/>
        </w:rPr>
        <w:t xml:space="preserve">“United States” chapter in </w:t>
      </w:r>
      <w:r w:rsidRPr="00630437">
        <w:rPr>
          <w:smallCaps/>
          <w:color w:val="292929"/>
          <w:shd w:val="clear" w:color="auto" w:fill="FFFFFF"/>
        </w:rPr>
        <w:t>Private Equity: Jurisdictional Comparisons</w:t>
      </w:r>
      <w:r w:rsidRPr="00630437">
        <w:rPr>
          <w:color w:val="292929"/>
          <w:shd w:val="clear" w:color="auto" w:fill="FFFFFF"/>
        </w:rPr>
        <w:t xml:space="preserve"> (2010)</w:t>
      </w:r>
    </w:p>
    <w:p w:rsidRPr="00630437" w:rsidR="001622BF" w:rsidP="001622BF" w:rsidRDefault="001622BF" w14:paraId="558F41ED" w14:textId="77777777">
      <w:pPr>
        <w:pStyle w:val="BodyText"/>
        <w:spacing w:after="240"/>
        <w:rPr>
          <w:color w:val="292929"/>
          <w:shd w:val="clear" w:color="auto" w:fill="FFFFFF"/>
        </w:rPr>
      </w:pPr>
      <w:r w:rsidRPr="00630437">
        <w:rPr>
          <w:color w:val="292929"/>
          <w:shd w:val="clear" w:color="auto" w:fill="FFFFFF"/>
        </w:rPr>
        <w:t xml:space="preserve">M. Bergman &amp; D. Lakhdhir, "Coping with the Credit Crisis: Certain Considerations for Boards of Directors and Senior Management of Non-U.S. Companies with Reporting Obligations in the United States,"  </w:t>
      </w:r>
      <w:r w:rsidRPr="00630437">
        <w:rPr>
          <w:rStyle w:val="Emphasis"/>
          <w:color w:val="292929"/>
          <w:shd w:val="clear" w:color="auto" w:fill="FFFFFF"/>
        </w:rPr>
        <w:t xml:space="preserve">Corporate Governance Report Vol. 4, No. 1 </w:t>
      </w:r>
      <w:r w:rsidRPr="00630437">
        <w:rPr>
          <w:color w:val="292929"/>
          <w:shd w:val="clear" w:color="auto" w:fill="FFFFFF"/>
        </w:rPr>
        <w:t>(March 2009)</w:t>
      </w:r>
    </w:p>
    <w:p w:rsidRPr="00630437" w:rsidR="001622BF" w:rsidP="001622BF" w:rsidRDefault="001622BF" w14:paraId="73E0FC95" w14:textId="77777777">
      <w:pPr>
        <w:pStyle w:val="BodyText"/>
        <w:spacing w:after="240"/>
        <w:rPr>
          <w:color w:val="292929"/>
          <w:shd w:val="clear" w:color="auto" w:fill="FFFFFF"/>
        </w:rPr>
      </w:pPr>
      <w:r w:rsidRPr="00630437">
        <w:rPr>
          <w:color w:val="292929"/>
          <w:shd w:val="clear" w:color="auto" w:fill="FFFFFF"/>
        </w:rPr>
        <w:t xml:space="preserve">D. Lakhdhir &amp; S. Cooke, "The Road to Harmonization in the EU," </w:t>
      </w:r>
      <w:r w:rsidRPr="00630437">
        <w:rPr>
          <w:rStyle w:val="Emphasis"/>
          <w:color w:val="292929"/>
          <w:shd w:val="clear" w:color="auto" w:fill="FFFFFF"/>
        </w:rPr>
        <w:t>New York L.J.</w:t>
      </w:r>
      <w:r w:rsidRPr="00630437">
        <w:rPr>
          <w:color w:val="292929"/>
          <w:shd w:val="clear" w:color="auto" w:fill="FFFFFF"/>
        </w:rPr>
        <w:t> (Nov. 6, 2006)</w:t>
      </w:r>
    </w:p>
    <w:p w:rsidRPr="00630437" w:rsidR="001622BF" w:rsidP="001622BF" w:rsidRDefault="001622BF" w14:paraId="1946D804" w14:textId="77777777">
      <w:pPr>
        <w:pStyle w:val="BodyText"/>
        <w:spacing w:after="240"/>
        <w:rPr>
          <w:color w:val="292929"/>
          <w:shd w:val="clear" w:color="auto" w:fill="FFFFFF"/>
        </w:rPr>
      </w:pPr>
      <w:r w:rsidRPr="00630437">
        <w:rPr>
          <w:color w:val="292929"/>
          <w:shd w:val="clear" w:color="auto" w:fill="FFFFFF"/>
        </w:rPr>
        <w:t>“</w:t>
      </w:r>
      <w:r w:rsidRPr="00630437">
        <w:rPr>
          <w:i/>
          <w:iCs/>
          <w:color w:val="292929"/>
          <w:shd w:val="clear" w:color="auto" w:fill="FFFFFF"/>
        </w:rPr>
        <w:t>Lawless World: America and the Making and Breaking of Global Rules From FDR's Atlantic Charter to George W. Bush's Illegal War</w:t>
      </w:r>
      <w:r w:rsidRPr="00630437">
        <w:rPr>
          <w:color w:val="292929"/>
          <w:shd w:val="clear" w:color="auto" w:fill="FFFFFF"/>
        </w:rPr>
        <w:t xml:space="preserve">” (review of book by Philippe Sands, KC), </w:t>
      </w:r>
      <w:r w:rsidRPr="00630437">
        <w:rPr>
          <w:i/>
          <w:iCs/>
          <w:color w:val="292929"/>
          <w:shd w:val="clear" w:color="auto" w:fill="FFFFFF"/>
        </w:rPr>
        <w:t>New York L.J.</w:t>
      </w:r>
      <w:r w:rsidRPr="00630437">
        <w:rPr>
          <w:color w:val="292929"/>
          <w:shd w:val="clear" w:color="auto" w:fill="FFFFFF"/>
        </w:rPr>
        <w:t xml:space="preserve"> (Oct. 26, 2005)</w:t>
      </w:r>
    </w:p>
    <w:p w:rsidRPr="00630437" w:rsidR="001622BF" w:rsidP="001622BF" w:rsidRDefault="001622BF" w14:paraId="4DD9DCE8" w14:textId="77777777">
      <w:pPr>
        <w:pStyle w:val="BodyText"/>
        <w:spacing w:after="240"/>
        <w:rPr>
          <w:color w:val="292929"/>
          <w:shd w:val="clear" w:color="auto" w:fill="FFFFFF"/>
        </w:rPr>
      </w:pPr>
      <w:r w:rsidRPr="00630437">
        <w:rPr>
          <w:color w:val="292929"/>
          <w:shd w:val="clear" w:color="auto" w:fill="FFFFFF"/>
        </w:rPr>
        <w:t>“Acquisitions of Public Companies in the U.S. and Europe: A Comparison of Regulatory Approaches,” paper presented at the Fall meeting of the International Law and Practice Section of the New York State Bar Association held at the Law Society of England and Wales, London, England (Oct. 18-23, 2005)</w:t>
      </w:r>
    </w:p>
    <w:p w:rsidRPr="00630437" w:rsidR="004B22E8" w:rsidRDefault="004B22E8" w14:paraId="35F37746" w14:textId="77777777">
      <w:pPr>
        <w:rPr>
          <w:color w:val="292929"/>
          <w:shd w:val="clear" w:color="auto" w:fill="FFFFFF"/>
        </w:rPr>
      </w:pPr>
      <w:r w:rsidRPr="00630437">
        <w:rPr>
          <w:color w:val="292929"/>
          <w:shd w:val="clear" w:color="auto" w:fill="FFFFFF"/>
        </w:rPr>
        <w:br w:type="page"/>
      </w:r>
    </w:p>
    <w:p w:rsidRPr="00630437" w:rsidR="001622BF" w:rsidP="001622BF" w:rsidRDefault="001622BF" w14:paraId="39FC86C0" w14:textId="782170DB">
      <w:pPr>
        <w:pStyle w:val="BodyText"/>
        <w:spacing w:after="240"/>
        <w:rPr>
          <w:color w:val="292929"/>
          <w:shd w:val="clear" w:color="auto" w:fill="FFFFFF"/>
        </w:rPr>
      </w:pPr>
      <w:r w:rsidRPr="00630437">
        <w:rPr>
          <w:color w:val="292929"/>
          <w:shd w:val="clear" w:color="auto" w:fill="FFFFFF"/>
        </w:rPr>
        <w:lastRenderedPageBreak/>
        <w:t xml:space="preserve">M. Bergman &amp; D. Lakhdhir, “Different Strokes,” </w:t>
      </w:r>
      <w:r w:rsidRPr="00630437">
        <w:rPr>
          <w:i/>
          <w:iCs/>
          <w:color w:val="292929"/>
          <w:shd w:val="clear" w:color="auto" w:fill="FFFFFF"/>
        </w:rPr>
        <w:t>Chief Legal Executive</w:t>
      </w:r>
      <w:r w:rsidRPr="00630437">
        <w:rPr>
          <w:color w:val="292929"/>
          <w:shd w:val="clear" w:color="auto" w:fill="FFFFFF"/>
        </w:rPr>
        <w:t xml:space="preserve"> (Spring 2003 issue), </w:t>
      </w:r>
      <w:r w:rsidRPr="00630437">
        <w:rPr>
          <w:i/>
          <w:iCs/>
          <w:color w:val="292929"/>
          <w:shd w:val="clear" w:color="auto" w:fill="FFFFFF"/>
        </w:rPr>
        <w:t>avail. at</w:t>
      </w:r>
      <w:r w:rsidRPr="00630437">
        <w:rPr>
          <w:color w:val="292929"/>
          <w:shd w:val="clear" w:color="auto" w:fill="FFFFFF"/>
        </w:rPr>
        <w:t xml:space="preserve"> </w:t>
      </w:r>
      <w:hyperlink w:history="1" r:id="rId18">
        <w:r w:rsidRPr="00630437">
          <w:rPr>
            <w:rStyle w:val="Hyperlink"/>
            <w:shd w:val="clear" w:color="auto" w:fill="FFFFFF"/>
          </w:rPr>
          <w:t>https://www.paulweiss.com/media/1859942/ds2003.pdf</w:t>
        </w:r>
      </w:hyperlink>
      <w:r w:rsidRPr="00630437">
        <w:rPr>
          <w:color w:val="292929"/>
          <w:shd w:val="clear" w:color="auto" w:fill="FFFFFF"/>
        </w:rPr>
        <w:t xml:space="preserve"> </w:t>
      </w:r>
    </w:p>
    <w:p w:rsidRPr="00630437" w:rsidR="001622BF" w:rsidP="001622BF" w:rsidRDefault="001622BF" w14:paraId="27CA3EC1" w14:textId="77777777">
      <w:pPr>
        <w:pStyle w:val="BodyText"/>
        <w:spacing w:after="240"/>
        <w:rPr>
          <w:color w:val="292929"/>
          <w:shd w:val="clear" w:color="auto" w:fill="FFFFFF"/>
        </w:rPr>
      </w:pPr>
      <w:r w:rsidRPr="00630437">
        <w:rPr>
          <w:color w:val="292929"/>
          <w:shd w:val="clear" w:color="auto" w:fill="FFFFFF"/>
        </w:rPr>
        <w:t xml:space="preserve">“Staking Out Positions on Takeover Rules in the European Union,” </w:t>
      </w:r>
      <w:r w:rsidRPr="00630437">
        <w:rPr>
          <w:i/>
          <w:iCs/>
          <w:color w:val="292929"/>
          <w:shd w:val="clear" w:color="auto" w:fill="FFFFFF"/>
        </w:rPr>
        <w:t>New York L.J.</w:t>
      </w:r>
      <w:r w:rsidRPr="00630437">
        <w:rPr>
          <w:color w:val="292929"/>
          <w:shd w:val="clear" w:color="auto" w:fill="FFFFFF"/>
        </w:rPr>
        <w:t xml:space="preserve"> (Nov. 12, 2002)</w:t>
      </w:r>
    </w:p>
    <w:p w:rsidRPr="00630437" w:rsidR="001622BF" w:rsidP="001622BF" w:rsidRDefault="001622BF" w14:paraId="14D64523" w14:textId="2F4EDCED">
      <w:pPr>
        <w:pStyle w:val="BodyText"/>
        <w:spacing w:after="240"/>
        <w:rPr>
          <w:color w:val="292929"/>
          <w:shd w:val="clear" w:color="auto" w:fill="FFFFFF"/>
        </w:rPr>
      </w:pPr>
      <w:r w:rsidRPr="00630437">
        <w:rPr>
          <w:color w:val="292929"/>
          <w:shd w:val="clear" w:color="auto" w:fill="FFFFFF"/>
        </w:rPr>
        <w:t xml:space="preserve">“Korea in Crisis: a Report on the Opportunities and Risks,” </w:t>
      </w:r>
      <w:r w:rsidRPr="00630437">
        <w:rPr>
          <w:i/>
          <w:iCs/>
          <w:color w:val="292929"/>
          <w:shd w:val="clear" w:color="auto" w:fill="FFFFFF"/>
        </w:rPr>
        <w:t>Asia Law</w:t>
      </w:r>
      <w:r w:rsidRPr="00630437">
        <w:rPr>
          <w:color w:val="292929"/>
          <w:shd w:val="clear" w:color="auto" w:fill="FFFFFF"/>
        </w:rPr>
        <w:t xml:space="preserve"> (Oct. 10-15, 1998)</w:t>
      </w:r>
    </w:p>
    <w:p w:rsidRPr="00630437" w:rsidR="001622BF" w:rsidP="001622BF" w:rsidRDefault="001622BF" w14:paraId="7B270D14" w14:textId="77777777">
      <w:pPr>
        <w:pStyle w:val="BodyText"/>
        <w:spacing w:after="240"/>
        <w:rPr>
          <w:color w:val="292929"/>
          <w:shd w:val="clear" w:color="auto" w:fill="FFFFFF"/>
        </w:rPr>
      </w:pPr>
      <w:r w:rsidRPr="00630437">
        <w:rPr>
          <w:color w:val="292929"/>
          <w:shd w:val="clear" w:color="auto" w:fill="FFFFFF"/>
        </w:rPr>
        <w:t xml:space="preserve">“Japan: A Special Report,” </w:t>
      </w:r>
      <w:r w:rsidRPr="00630437">
        <w:rPr>
          <w:i/>
          <w:iCs/>
          <w:color w:val="292929"/>
          <w:shd w:val="clear" w:color="auto" w:fill="FFFFFF"/>
        </w:rPr>
        <w:t>Int’l Financial L. Rev.</w:t>
      </w:r>
      <w:r w:rsidRPr="00630437">
        <w:rPr>
          <w:color w:val="292929"/>
          <w:shd w:val="clear" w:color="auto" w:fill="FFFFFF"/>
        </w:rPr>
        <w:t xml:space="preserve"> (April 1997)</w:t>
      </w:r>
    </w:p>
    <w:p w:rsidRPr="00630437" w:rsidR="001622BF" w:rsidP="001622BF" w:rsidRDefault="001622BF" w14:paraId="242DAF67" w14:textId="77777777">
      <w:pPr>
        <w:pStyle w:val="BodyText"/>
        <w:spacing w:after="240"/>
        <w:rPr>
          <w:color w:val="292929"/>
          <w:shd w:val="clear" w:color="auto" w:fill="FFFFFF"/>
        </w:rPr>
      </w:pPr>
      <w:r w:rsidRPr="00630437">
        <w:rPr>
          <w:color w:val="292929"/>
          <w:shd w:val="clear" w:color="auto" w:fill="FFFFFF"/>
        </w:rPr>
        <w:t>“China in Transition: The ‘Privatization’ of State Enterprises,” paper presented at a conference on China organized by the American Chamber of Commerce in Hong Kong (Nov. 15-16, 1994)</w:t>
      </w:r>
    </w:p>
    <w:p w:rsidRPr="00630437" w:rsidR="001622BF" w:rsidP="001622BF" w:rsidRDefault="001622BF" w14:paraId="07AED511" w14:textId="77777777">
      <w:pPr>
        <w:pStyle w:val="BodyText"/>
        <w:spacing w:after="240"/>
        <w:rPr>
          <w:color w:val="292929"/>
          <w:shd w:val="clear" w:color="auto" w:fill="FFFFFF"/>
        </w:rPr>
      </w:pPr>
      <w:r w:rsidRPr="00630437">
        <w:rPr>
          <w:color w:val="292929"/>
          <w:shd w:val="clear" w:color="auto" w:fill="FFFFFF"/>
        </w:rPr>
        <w:t>“West Side Development: Legal issues relating to the Environment,” Report to the [New York City] West Side Task Force (Nov. 1986)</w:t>
      </w:r>
    </w:p>
    <w:p w:rsidRPr="00630437" w:rsidR="001622BF" w:rsidP="001622BF" w:rsidRDefault="001622BF" w14:paraId="5930AE10" w14:textId="77777777">
      <w:pPr>
        <w:pStyle w:val="BodyText"/>
        <w:spacing w:after="240"/>
      </w:pPr>
      <w:r w:rsidRPr="00630437">
        <w:t>“Claims Settlement: Executive Action Limiting Suits Against Iran (</w:t>
      </w:r>
      <w:r w:rsidRPr="00630437">
        <w:rPr>
          <w:i/>
          <w:iCs/>
        </w:rPr>
        <w:t>Dames &amp; Moore v. Regan</w:t>
      </w:r>
      <w:r w:rsidRPr="00630437">
        <w:t xml:space="preserve">),” 22 </w:t>
      </w:r>
      <w:r w:rsidRPr="00630437">
        <w:rPr>
          <w:i/>
          <w:iCs/>
        </w:rPr>
        <w:t>Harv. Int’l L.J</w:t>
      </w:r>
      <w:r w:rsidRPr="00630437">
        <w:rPr>
          <w:smallCaps/>
        </w:rPr>
        <w:t>.</w:t>
      </w:r>
      <w:r w:rsidRPr="00630437">
        <w:t xml:space="preserve"> 661 (1981)</w:t>
      </w:r>
    </w:p>
    <w:p w:rsidRPr="00630437" w:rsidR="008C2E9C" w:rsidP="00B878E3" w:rsidRDefault="001622BF" w14:paraId="105B7D27" w14:textId="6FE96C34">
      <w:pPr>
        <w:pStyle w:val="BodyText"/>
        <w:spacing w:after="240"/>
      </w:pPr>
      <w:r w:rsidRPr="00630437">
        <w:t xml:space="preserve">“Essay: The Perils of Linkage,”  2 </w:t>
      </w:r>
      <w:r w:rsidRPr="00630437">
        <w:rPr>
          <w:i/>
          <w:iCs/>
        </w:rPr>
        <w:t>Harv. Int’l Rev</w:t>
      </w:r>
      <w:r w:rsidRPr="00630437">
        <w:t xml:space="preserve">., No. 2, at 22-23 (1979), </w:t>
      </w:r>
      <w:r w:rsidRPr="00630437">
        <w:rPr>
          <w:i/>
          <w:iCs/>
        </w:rPr>
        <w:t>avail. at</w:t>
      </w:r>
      <w:r w:rsidRPr="00630437">
        <w:t xml:space="preserve"> </w:t>
      </w:r>
      <w:hyperlink w:history="1" r:id="rId19">
        <w:r w:rsidRPr="00630437">
          <w:rPr>
            <w:rStyle w:val="Hyperlink"/>
            <w:spacing w:val="-5"/>
          </w:rPr>
          <w:t>http://www.jstor.org/stable/42759503</w:t>
        </w:r>
      </w:hyperlink>
      <w:r w:rsidRPr="00630437">
        <w:rPr>
          <w:color w:val="000000"/>
          <w:spacing w:val="-5"/>
        </w:rPr>
        <w:t xml:space="preserve"> </w:t>
      </w:r>
    </w:p>
    <w:sectPr w:rsidRPr="00630437" w:rsidR="008C2E9C" w:rsidSect="004821B6">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296" w:left="1440" w:header="1454" w:footer="6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FB" w:rsidRDefault="007C75FB" w14:paraId="7EC2CF1A" w14:textId="77777777">
      <w:r>
        <w:separator/>
      </w:r>
    </w:p>
  </w:endnote>
  <w:endnote w:type="continuationSeparator" w:id="0">
    <w:p w:rsidR="007C75FB" w:rsidRDefault="007C75FB" w14:paraId="3A372A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8E3" w:rsidRDefault="00B878E3" w14:paraId="20093B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E9C" w:rsidP="004821B6" w:rsidRDefault="004821B6" w14:paraId="5E46D666" w14:textId="01261F03">
    <w:pPr>
      <w:pStyle w:val="Footer"/>
      <w:jc w:val="center"/>
    </w:pPr>
    <w:r>
      <w:fldChar w:fldCharType="begin"/>
    </w:r>
    <w:r>
      <w:instrText xml:space="preserve"> PAGE  \* MERGEFORMAT </w:instrText>
    </w:r>
    <w:r>
      <w:fldChar w:fldCharType="separate"/>
    </w:r>
    <w:r>
      <w:rPr>
        <w:noProof/>
      </w:rPr>
      <w:t>2</w:t>
    </w:r>
    <w:r>
      <w:fldChar w:fldCharType="end"/>
    </w:r>
  </w:p>
  <w:p w:rsidRPr="004821B6" w:rsidR="004821B6" w:rsidP="004821B6" w:rsidRDefault="004821B6" w14:paraId="45B7DD3A" w14:textId="3225D1AB">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1B6" w:rsidP="004821B6" w:rsidRDefault="004821B6" w14:paraId="15596821" w14:textId="77777777">
    <w:pPr>
      <w:pStyle w:val="Footer"/>
      <w:jc w:val="center"/>
    </w:pPr>
  </w:p>
  <w:p w:rsidRPr="004821B6" w:rsidR="004821B6" w:rsidP="004821B6" w:rsidRDefault="004821B6" w14:paraId="0F4AD679" w14:textId="4C7EA8FD">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FB" w:rsidRDefault="007C75FB" w14:paraId="20DD0B20" w14:textId="77777777">
      <w:r>
        <w:separator/>
      </w:r>
    </w:p>
  </w:footnote>
  <w:footnote w:type="continuationSeparator" w:id="0">
    <w:p w:rsidR="007C75FB" w:rsidRDefault="007C75FB" w14:paraId="3E8D8AA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8E3" w:rsidRDefault="00B878E3" w14:paraId="4BE4F65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E9C" w:rsidRDefault="008C2E9C" w14:paraId="799BC1E1" w14:textId="47C45DF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8E3" w:rsidRDefault="00B878E3" w14:paraId="6AC0811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9C"/>
    <w:rsid w:val="001622BF"/>
    <w:rsid w:val="00166F69"/>
    <w:rsid w:val="002A0F1B"/>
    <w:rsid w:val="004821B6"/>
    <w:rsid w:val="004B22E8"/>
    <w:rsid w:val="004B6055"/>
    <w:rsid w:val="00630437"/>
    <w:rsid w:val="007524C8"/>
    <w:rsid w:val="007C75FB"/>
    <w:rsid w:val="008C2E9C"/>
    <w:rsid w:val="00B878E3"/>
    <w:rsid w:val="00BE0AC2"/>
    <w:rsid w:val="00BE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B6D88"/>
  <w15:docId w15:val="{6E998171-C04F-4EE7-A5FB-BDC8F0C2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240"/>
      <w:ind w:left="10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
      <w:ind w:left="20"/>
    </w:pPr>
    <w:rPr>
      <w:b/>
      <w:bCs/>
      <w:sz w:val="26"/>
      <w:szCs w:val="26"/>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7524C8"/>
    <w:pPr>
      <w:tabs>
        <w:tab w:val="center" w:pos="4680"/>
        <w:tab w:val="right" w:pos="9360"/>
      </w:tabs>
    </w:pPr>
  </w:style>
  <w:style w:type="character" w:styleId="HeaderChar" w:customStyle="1">
    <w:name w:val="Header Char"/>
    <w:basedOn w:val="DefaultParagraphFont"/>
    <w:link w:val="Header"/>
    <w:uiPriority w:val="99"/>
    <w:rsid w:val="007524C8"/>
    <w:rPr>
      <w:rFonts w:ascii="Times New Roman" w:hAnsi="Times New Roman" w:eastAsia="Times New Roman" w:cs="Times New Roman"/>
    </w:rPr>
  </w:style>
  <w:style w:type="paragraph" w:styleId="Footer">
    <w:name w:val="footer"/>
    <w:basedOn w:val="Normal"/>
    <w:link w:val="FooterChar"/>
    <w:uiPriority w:val="99"/>
    <w:unhideWhenUsed/>
    <w:rsid w:val="007524C8"/>
    <w:pPr>
      <w:tabs>
        <w:tab w:val="center" w:pos="4680"/>
        <w:tab w:val="right" w:pos="9360"/>
      </w:tabs>
    </w:pPr>
  </w:style>
  <w:style w:type="character" w:styleId="FooterChar" w:customStyle="1">
    <w:name w:val="Footer Char"/>
    <w:basedOn w:val="DefaultParagraphFont"/>
    <w:link w:val="Footer"/>
    <w:uiPriority w:val="99"/>
    <w:rsid w:val="007524C8"/>
    <w:rPr>
      <w:rFonts w:ascii="Times New Roman" w:hAnsi="Times New Roman" w:eastAsia="Times New Roman" w:cs="Times New Roman"/>
    </w:rPr>
  </w:style>
  <w:style w:type="character" w:styleId="Emphasis">
    <w:name w:val="Emphasis"/>
    <w:basedOn w:val="DefaultParagraphFont"/>
    <w:uiPriority w:val="20"/>
    <w:qFormat/>
    <w:rsid w:val="001622BF"/>
    <w:rPr>
      <w:i/>
      <w:iCs/>
    </w:rPr>
  </w:style>
  <w:style w:type="character" w:styleId="Hyperlink">
    <w:name w:val="Hyperlink"/>
    <w:basedOn w:val="DefaultParagraphFont"/>
    <w:uiPriority w:val="99"/>
    <w:unhideWhenUsed/>
    <w:rsid w:val="001622BF"/>
    <w:rPr>
      <w:color w:val="0000FF" w:themeColor="hyperlink"/>
      <w:u w:val="single"/>
    </w:rPr>
  </w:style>
  <w:style w:type="paragraph" w:styleId="DocID" w:customStyle="1">
    <w:name w:val="DocID"/>
    <w:basedOn w:val="Normal"/>
    <w:link w:val="DocIDChar"/>
    <w:rsid w:val="004821B6"/>
    <w:pPr>
      <w:spacing w:after="240"/>
    </w:pPr>
    <w:rPr>
      <w:i/>
      <w:iCs/>
      <w:sz w:val="16"/>
    </w:rPr>
  </w:style>
  <w:style w:type="character" w:styleId="BodyTextChar" w:customStyle="1">
    <w:name w:val="Body Text Char"/>
    <w:basedOn w:val="DefaultParagraphFont"/>
    <w:link w:val="BodyText"/>
    <w:uiPriority w:val="1"/>
    <w:rsid w:val="004821B6"/>
    <w:rPr>
      <w:rFonts w:ascii="Times New Roman" w:hAnsi="Times New Roman" w:eastAsia="Times New Roman" w:cs="Times New Roman"/>
    </w:rPr>
  </w:style>
  <w:style w:type="character" w:styleId="DocIDChar" w:customStyle="1">
    <w:name w:val="DocID Char"/>
    <w:basedOn w:val="BodyTextChar"/>
    <w:link w:val="DocID"/>
    <w:rsid w:val="004821B6"/>
    <w:rPr>
      <w:rFonts w:ascii="Times New Roman" w:hAnsi="Times New Roman" w:eastAsia="Times New Roman" w:cs="Times New Roman"/>
      <w:i/>
      <w:iCs/>
      <w:sz w:val="16"/>
    </w:rPr>
  </w:style>
  <w:style w:type="character" w:styleId="UnresolvedMention">
    <w:name w:val="Unresolved Mention"/>
    <w:basedOn w:val="DefaultParagraphFont"/>
    <w:uiPriority w:val="99"/>
    <w:semiHidden/>
    <w:unhideWhenUsed/>
    <w:rsid w:val="00482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sinesslawtoday.org/2024/07/the-eu-due-diligence-directive-implications-for-u-s-companies/" TargetMode="External"/><Relationship Id="rId13" Type="http://schemas.openxmlformats.org/officeDocument/2006/relationships/hyperlink" Target="https://www.paulweiss.com/media/3980842/us_cos_must_prepare_for_eu_human_rights_and_climate_policy.pdf" TargetMode="External"/><Relationship Id="rId18" Type="http://schemas.openxmlformats.org/officeDocument/2006/relationships/hyperlink" Target="https://www.paulweiss.com/media/1859942/ds2003.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mailto:dlakhdhir@paulweiss.com" TargetMode="External"/><Relationship Id="rId12" Type="http://schemas.openxmlformats.org/officeDocument/2006/relationships/hyperlink" Target="https://www.paulweiss.com/media/3980853/us_cos_must_prepare_for_eu_carbon_tax_on_imports.pdf" TargetMode="External"/><Relationship Id="rId17" Type="http://schemas.openxmlformats.org/officeDocument/2006/relationships/hyperlink" Target="https://www.paulweiss.com/practices/region/europe/publications/risk-of-a-no-deal-brexit-how-should-businesses-respond?id=26972"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paulweiss.com/practices/region/europe/publications/a-no-deal-brexit-what-could-it-mean-and-can-it-be-prevented?id=2915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dkl2128@columbia.edu" TargetMode="External"/><Relationship Id="rId11" Type="http://schemas.openxmlformats.org/officeDocument/2006/relationships/hyperlink" Target="https://www.law.com/newyorklawjournal/2022/01/07/new-u-s-law-imposes-de-facto-import-ban-on-products-from-xinjiang/?slreturn=20220626155406"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paulweiss.com/practices/region/europe/publications/brexit-update-what-does-brexit-really-mean?id=30526" TargetMode="External"/><Relationship Id="rId23" Type="http://schemas.openxmlformats.org/officeDocument/2006/relationships/footer" Target="footer2.xml"/><Relationship Id="rId10" Type="http://schemas.openxmlformats.org/officeDocument/2006/relationships/hyperlink" Target="https://www.law.com/newyorklawjournal/2022/08/04/eus-carbon-border-adjustment-mechanism-may-force-congress-to-consider-a-carbon-tax/" TargetMode="External"/><Relationship Id="rId19" Type="http://schemas.openxmlformats.org/officeDocument/2006/relationships/hyperlink" Target="http://www.jstor.org/stable/42759503" TargetMode="External"/><Relationship Id="rId4" Type="http://schemas.openxmlformats.org/officeDocument/2006/relationships/footnotes" Target="footnotes.xml"/><Relationship Id="rId9" Type="http://schemas.openxmlformats.org/officeDocument/2006/relationships/hyperlink" Target="https://today.westlaw.com/Document/Ib09f6f5df32211ee8921fbef1a541940/View/FullText.html?transitionType=Default&amp;contextData=(sc.Default)&amp;VR=3.0&amp;RS=cblt1.0&amp;firstPage=true" TargetMode="External"/><Relationship Id="rId14" Type="http://schemas.openxmlformats.org/officeDocument/2006/relationships/hyperlink" Target="https://www.paulweiss.com/media/3980713/uk_and_eu_reach_agreement_on_trade_key_takeaways.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HeadingPairs>
    <vt:vector baseType="variant" size="2">
      <vt:variant>
        <vt:lpstr>Title</vt:lpstr>
      </vt:variant>
      <vt:variant>
        <vt:i4>1</vt:i4>
      </vt:variant>
    </vt:vector>
  </ap:HeadingPairs>
  <ap:TitlesOfParts>
    <vt:vector baseType="lpstr" size="1">
      <vt:lpstr/>
    </vt:vector>
  </ap:TitlesOfPart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