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C670" w14:textId="77777777" w:rsidR="00EA6F89" w:rsidRDefault="00C25B05">
      <w:pPr>
        <w:spacing w:after="52" w:line="259" w:lineRule="auto"/>
        <w:ind w:left="50"/>
        <w:jc w:val="center"/>
      </w:pPr>
      <w:r>
        <w:rPr>
          <w:b/>
        </w:rPr>
        <w:t xml:space="preserve">DAVID M. SCHIZER </w:t>
      </w:r>
    </w:p>
    <w:p w14:paraId="767077DF" w14:textId="77777777" w:rsidR="00EA6F89" w:rsidRDefault="00C25B05">
      <w:pPr>
        <w:spacing w:line="259" w:lineRule="auto"/>
        <w:ind w:left="135"/>
        <w:jc w:val="center"/>
      </w:pPr>
      <w:r>
        <w:rPr>
          <w:b/>
          <w:sz w:val="32"/>
        </w:rPr>
        <w:t xml:space="preserve"> </w:t>
      </w:r>
    </w:p>
    <w:p w14:paraId="53B3A743" w14:textId="77777777" w:rsidR="00EA6F89" w:rsidRDefault="00C25B05" w:rsidP="00121C99">
      <w:pPr>
        <w:spacing w:line="259" w:lineRule="auto"/>
      </w:pPr>
      <w:r>
        <w:rPr>
          <w:b/>
        </w:rPr>
        <w:t>EXPERIENCE</w:t>
      </w:r>
      <w:r>
        <w:t xml:space="preserve"> </w:t>
      </w:r>
    </w:p>
    <w:p w14:paraId="2E249BEB" w14:textId="77777777" w:rsidR="00EA6F89" w:rsidRDefault="00C25B05">
      <w:pPr>
        <w:spacing w:line="259" w:lineRule="auto"/>
        <w:ind w:left="31"/>
      </w:pPr>
      <w:r>
        <w:t xml:space="preserve"> </w:t>
      </w:r>
    </w:p>
    <w:p w14:paraId="4D7E5366" w14:textId="77777777" w:rsidR="00EA6F89" w:rsidRDefault="00EA6F89" w:rsidP="008021C4">
      <w:pPr>
        <w:spacing w:line="238" w:lineRule="auto"/>
      </w:pPr>
    </w:p>
    <w:p w14:paraId="02523F68" w14:textId="77777777" w:rsidR="00EA6F89" w:rsidRDefault="00C25B05">
      <w:pPr>
        <w:pStyle w:val="Heading1"/>
        <w:ind w:left="26"/>
      </w:pPr>
      <w:r>
        <w:t xml:space="preserve">Columbia Law School </w:t>
      </w:r>
    </w:p>
    <w:p w14:paraId="285739F8" w14:textId="77777777" w:rsidR="00EA6F89" w:rsidRDefault="00C25B05">
      <w:pPr>
        <w:tabs>
          <w:tab w:val="right" w:pos="8649"/>
        </w:tabs>
        <w:spacing w:after="3" w:line="248" w:lineRule="auto"/>
      </w:pPr>
      <w:r>
        <w:rPr>
          <w:i/>
        </w:rPr>
        <w:t>Dean Emeritus and Harvey R. Miller Professor of Law &amp; Economics</w:t>
      </w:r>
      <w:r w:rsidR="007F2B66">
        <w:rPr>
          <w:i/>
        </w:rPr>
        <w:t xml:space="preserve">          </w:t>
      </w:r>
      <w:r>
        <w:t>2014–present</w:t>
      </w:r>
      <w:r>
        <w:rPr>
          <w:i/>
        </w:rPr>
        <w:t xml:space="preserve"> </w:t>
      </w:r>
    </w:p>
    <w:p w14:paraId="7181A7BE" w14:textId="12E138DC" w:rsidR="00AA2AF8" w:rsidRDefault="00D35E3B" w:rsidP="003B310D">
      <w:pPr>
        <w:ind w:left="26" w:hanging="10"/>
      </w:pPr>
      <w:r>
        <w:t xml:space="preserve">Courses include Deals, Federal Income Taxation, Nonprofit Law, Taxation and Management, </w:t>
      </w:r>
      <w:r w:rsidR="00AA2AF8">
        <w:t xml:space="preserve">Corporate Tax, </w:t>
      </w:r>
      <w:r>
        <w:t>Professional Responsibility, Taxation of Financial Instruments, and Tax Policy; Co-Chair of Columbia University Task Force on Antisemitism (</w:t>
      </w:r>
      <w:r w:rsidR="00AA2AF8">
        <w:t xml:space="preserve">since </w:t>
      </w:r>
      <w:r>
        <w:t>2023); Founder and Co-chair of Center on Israeli Legal Studies (</w:t>
      </w:r>
      <w:r w:rsidR="00AA2AF8">
        <w:t xml:space="preserve">since </w:t>
      </w:r>
      <w:r>
        <w:t>2007); Founder and Co-Chair of Richard Paul Richman Center for Business, Law, and Public Policy (</w:t>
      </w:r>
      <w:r w:rsidR="00AA2AF8">
        <w:t xml:space="preserve">since </w:t>
      </w:r>
      <w:r>
        <w:t>2012); Founder and Co-Chair of Charles E. Gerber Center for Transactional Studies (</w:t>
      </w:r>
      <w:r w:rsidR="00AA2AF8">
        <w:t xml:space="preserve">since </w:t>
      </w:r>
      <w:r>
        <w:t>2001); Willis Reese Prize for Excellence in Teaching (2002).</w:t>
      </w:r>
    </w:p>
    <w:p w14:paraId="3557B9FC" w14:textId="77777777" w:rsidR="00EA6F89" w:rsidRDefault="00EA6F89">
      <w:pPr>
        <w:spacing w:line="259" w:lineRule="auto"/>
        <w:ind w:left="31"/>
      </w:pPr>
    </w:p>
    <w:p w14:paraId="0186CFB1" w14:textId="7CA0427E" w:rsidR="00EA6F89" w:rsidRDefault="00C25B05">
      <w:pPr>
        <w:tabs>
          <w:tab w:val="center" w:pos="6512"/>
          <w:tab w:val="center" w:pos="7772"/>
        </w:tabs>
        <w:spacing w:after="3" w:line="248" w:lineRule="auto"/>
      </w:pPr>
      <w:r>
        <w:rPr>
          <w:i/>
        </w:rPr>
        <w:t>Dean and Lucy G. Moses Professor of Law</w:t>
      </w:r>
      <w:r w:rsidR="007F2B66">
        <w:rPr>
          <w:b/>
          <w:i/>
        </w:rPr>
        <w:tab/>
      </w:r>
      <w:r w:rsidR="007F2B66">
        <w:rPr>
          <w:b/>
          <w:i/>
        </w:rPr>
        <w:tab/>
      </w:r>
      <w:r>
        <w:t>2004–2014</w:t>
      </w:r>
      <w:r>
        <w:rPr>
          <w:b/>
          <w:i/>
        </w:rPr>
        <w:t xml:space="preserve"> </w:t>
      </w:r>
    </w:p>
    <w:p w14:paraId="2BDA764B" w14:textId="77777777" w:rsidR="00EA6F89" w:rsidRDefault="00C25B05">
      <w:pPr>
        <w:ind w:left="26"/>
      </w:pPr>
      <w:r>
        <w:t xml:space="preserve">Youngest dean in school’s history (at 35 years old) and longest serving dean since 1971; supervised 400 employees and budget of $150 million; completed $300 million capital campaign with a $353 million total; more than doubled school’s fundraising; hired 43 professors, reducing student-faculty ratio to lowest level in school’s history; forged new partnership with Columbia Business School; launched new faculty housing program. </w:t>
      </w:r>
    </w:p>
    <w:p w14:paraId="76F8EF8A" w14:textId="77777777" w:rsidR="00EA6F89" w:rsidRDefault="00C25B05">
      <w:pPr>
        <w:spacing w:line="259" w:lineRule="auto"/>
        <w:ind w:left="31"/>
      </w:pPr>
      <w:r>
        <w:t xml:space="preserve"> </w:t>
      </w:r>
    </w:p>
    <w:p w14:paraId="470A73BC" w14:textId="77777777" w:rsidR="00EA6F89" w:rsidRDefault="00C25B05">
      <w:pPr>
        <w:tabs>
          <w:tab w:val="center" w:pos="2191"/>
          <w:tab w:val="center" w:pos="2912"/>
          <w:tab w:val="center" w:pos="3632"/>
          <w:tab w:val="center" w:pos="4352"/>
          <w:tab w:val="center" w:pos="5072"/>
          <w:tab w:val="center" w:pos="5792"/>
          <w:tab w:val="center" w:pos="6512"/>
          <w:tab w:val="right" w:pos="8649"/>
        </w:tabs>
        <w:spacing w:after="3" w:line="248" w:lineRule="auto"/>
      </w:pPr>
      <w:r>
        <w:rPr>
          <w:i/>
        </w:rPr>
        <w:t xml:space="preserve">Faculty Member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1998–present </w:t>
      </w:r>
    </w:p>
    <w:p w14:paraId="5CCFF42D" w14:textId="083BE4E0" w:rsidR="00EA6F89" w:rsidRDefault="00C25B05" w:rsidP="001D11B3">
      <w:pPr>
        <w:ind w:left="26"/>
      </w:pPr>
      <w:r>
        <w:t xml:space="preserve">Wilbur H. Friedman Professor of Tax Law (2003–2004); Professor of Law (2002–2003); Associate Professor (1998–2001). </w:t>
      </w:r>
    </w:p>
    <w:p w14:paraId="30D74A93" w14:textId="77777777" w:rsidR="008021C4" w:rsidRDefault="008021C4">
      <w:pPr>
        <w:ind w:left="26"/>
      </w:pPr>
    </w:p>
    <w:p w14:paraId="4E54B647" w14:textId="77777777" w:rsidR="008021C4" w:rsidRDefault="008021C4" w:rsidP="008021C4">
      <w:pPr>
        <w:pStyle w:val="Heading1"/>
        <w:ind w:left="26"/>
      </w:pPr>
      <w:r>
        <w:t xml:space="preserve">American Jewish Joint Distribution Committee </w:t>
      </w:r>
    </w:p>
    <w:p w14:paraId="22E1A992" w14:textId="77777777" w:rsidR="008021C4" w:rsidRDefault="008021C4" w:rsidP="008021C4">
      <w:pPr>
        <w:tabs>
          <w:tab w:val="center" w:pos="3632"/>
          <w:tab w:val="center" w:pos="4352"/>
          <w:tab w:val="center" w:pos="5072"/>
          <w:tab w:val="center" w:pos="5792"/>
          <w:tab w:val="center" w:pos="6512"/>
          <w:tab w:val="right" w:pos="8649"/>
        </w:tabs>
        <w:spacing w:after="3" w:line="248" w:lineRule="auto"/>
      </w:pPr>
      <w:r>
        <w:rPr>
          <w:i/>
        </w:rPr>
        <w:t>Executive Vice President &amp; CEO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2017–2019 </w:t>
      </w:r>
    </w:p>
    <w:p w14:paraId="46330F78" w14:textId="654EFB74" w:rsidR="008021C4" w:rsidRDefault="008021C4" w:rsidP="008021C4">
      <w:pPr>
        <w:ind w:left="26"/>
      </w:pPr>
      <w:r>
        <w:t>R</w:t>
      </w:r>
      <w:r>
        <w:rPr>
          <w:color w:val="3D3D3D"/>
        </w:rPr>
        <w:t>edesigned planning process of 10</w:t>
      </w:r>
      <w:r w:rsidR="00F26485">
        <w:rPr>
          <w:color w:val="3D3D3D"/>
        </w:rPr>
        <w:t>8-</w:t>
      </w:r>
      <w:r>
        <w:rPr>
          <w:color w:val="3D3D3D"/>
        </w:rPr>
        <w:t>year-old international humanitarian organization to allocate $3</w:t>
      </w:r>
      <w:r w:rsidR="00F26485">
        <w:rPr>
          <w:color w:val="3D3D3D"/>
        </w:rPr>
        <w:t>70</w:t>
      </w:r>
      <w:r>
        <w:rPr>
          <w:color w:val="3D3D3D"/>
        </w:rPr>
        <w:t xml:space="preserve"> million annual budget more strategically; lightened infrastructure; relied more on data and on other insights from business world; increased and diversified philanthropic support; and raised public profile</w:t>
      </w:r>
      <w:r>
        <w:t>.</w:t>
      </w:r>
    </w:p>
    <w:p w14:paraId="2FE548BC" w14:textId="77777777" w:rsidR="00EA6F89" w:rsidRDefault="00C25B05">
      <w:pPr>
        <w:spacing w:line="259" w:lineRule="auto"/>
        <w:ind w:left="31"/>
      </w:pPr>
      <w:r>
        <w:t xml:space="preserve"> </w:t>
      </w:r>
    </w:p>
    <w:p w14:paraId="0A241B7B" w14:textId="77777777" w:rsidR="00EA6F89" w:rsidRDefault="00C25B05">
      <w:pPr>
        <w:tabs>
          <w:tab w:val="center" w:pos="2191"/>
          <w:tab w:val="center" w:pos="2912"/>
          <w:tab w:val="center" w:pos="3632"/>
          <w:tab w:val="center" w:pos="4352"/>
          <w:tab w:val="center" w:pos="5072"/>
          <w:tab w:val="center" w:pos="5792"/>
          <w:tab w:val="center" w:pos="6512"/>
        </w:tabs>
        <w:spacing w:line="259" w:lineRule="auto"/>
      </w:pPr>
      <w:r>
        <w:rPr>
          <w:b/>
        </w:rPr>
        <w:t>Yale Law School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3F0697" w14:textId="77777777" w:rsidR="00EA6F89" w:rsidRDefault="00C25B05">
      <w:pPr>
        <w:tabs>
          <w:tab w:val="center" w:pos="5072"/>
          <w:tab w:val="center" w:pos="5792"/>
          <w:tab w:val="center" w:pos="6512"/>
          <w:tab w:val="center" w:pos="7821"/>
        </w:tabs>
        <w:spacing w:after="3" w:line="248" w:lineRule="auto"/>
      </w:pPr>
      <w:r>
        <w:rPr>
          <w:i/>
        </w:rPr>
        <w:t xml:space="preserve">Florence </w:t>
      </w:r>
      <w:proofErr w:type="spellStart"/>
      <w:r>
        <w:rPr>
          <w:i/>
        </w:rPr>
        <w:t>Rogatz</w:t>
      </w:r>
      <w:proofErr w:type="spellEnd"/>
      <w:r>
        <w:t xml:space="preserve"> </w:t>
      </w:r>
      <w:r>
        <w:rPr>
          <w:i/>
        </w:rPr>
        <w:t xml:space="preserve">Visiting Professor of Law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Spring 2016 </w:t>
      </w:r>
    </w:p>
    <w:p w14:paraId="5AEC9E94" w14:textId="77777777" w:rsidR="00EA6F89" w:rsidRDefault="00C25B05">
      <w:pPr>
        <w:spacing w:line="259" w:lineRule="auto"/>
        <w:ind w:left="31"/>
      </w:pPr>
      <w:r>
        <w:rPr>
          <w:b/>
        </w:rPr>
        <w:t xml:space="preserve"> </w:t>
      </w:r>
    </w:p>
    <w:p w14:paraId="428C77CC" w14:textId="77777777" w:rsidR="00EA6F89" w:rsidRDefault="00C25B05">
      <w:pPr>
        <w:tabs>
          <w:tab w:val="center" w:pos="2912"/>
          <w:tab w:val="center" w:pos="3632"/>
          <w:tab w:val="center" w:pos="4352"/>
          <w:tab w:val="center" w:pos="5072"/>
          <w:tab w:val="center" w:pos="5792"/>
          <w:tab w:val="center" w:pos="6512"/>
        </w:tabs>
        <w:spacing w:line="259" w:lineRule="auto"/>
      </w:pPr>
      <w:r>
        <w:rPr>
          <w:b/>
        </w:rPr>
        <w:t>Harvard Law School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1DC9365" w14:textId="77777777" w:rsidR="00EA6F89" w:rsidRDefault="00C25B05">
      <w:pPr>
        <w:tabs>
          <w:tab w:val="center" w:pos="5072"/>
          <w:tab w:val="center" w:pos="5792"/>
          <w:tab w:val="center" w:pos="6512"/>
          <w:tab w:val="center" w:pos="7688"/>
        </w:tabs>
        <w:spacing w:after="3" w:line="248" w:lineRule="auto"/>
      </w:pPr>
      <w:r>
        <w:rPr>
          <w:i/>
        </w:rPr>
        <w:t xml:space="preserve">William K. Jacobs Visiting Professor of Law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>Fall 2015</w:t>
      </w:r>
      <w:r>
        <w:rPr>
          <w:i/>
        </w:rPr>
        <w:t xml:space="preserve"> </w:t>
      </w:r>
    </w:p>
    <w:p w14:paraId="260F4BB5" w14:textId="77777777" w:rsidR="00EA6F89" w:rsidRDefault="00C25B05">
      <w:pPr>
        <w:spacing w:line="259" w:lineRule="auto"/>
        <w:ind w:left="31"/>
      </w:pPr>
      <w:r>
        <w:rPr>
          <w:b/>
        </w:rPr>
        <w:t xml:space="preserve"> </w:t>
      </w:r>
    </w:p>
    <w:p w14:paraId="33D81334" w14:textId="77777777" w:rsidR="00EA6F89" w:rsidRDefault="00C25B05">
      <w:pPr>
        <w:pStyle w:val="Heading1"/>
        <w:ind w:left="26"/>
      </w:pPr>
      <w:r>
        <w:t xml:space="preserve">Georgetown Law Center </w:t>
      </w:r>
    </w:p>
    <w:p w14:paraId="0365916E" w14:textId="77777777" w:rsidR="00EA6F89" w:rsidRDefault="00C25B05" w:rsidP="008021C4">
      <w:pPr>
        <w:tabs>
          <w:tab w:val="center" w:pos="5072"/>
          <w:tab w:val="center" w:pos="5792"/>
          <w:tab w:val="center" w:pos="6512"/>
          <w:tab w:val="center" w:pos="7821"/>
        </w:tabs>
        <w:spacing w:after="3" w:line="248" w:lineRule="auto"/>
      </w:pPr>
      <w:r>
        <w:rPr>
          <w:i/>
        </w:rPr>
        <w:t xml:space="preserve">Martin D. Ginsburg Visiting Professor of Law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Spring 2015 </w:t>
      </w:r>
    </w:p>
    <w:tbl>
      <w:tblPr>
        <w:tblStyle w:val="TableGrid"/>
        <w:tblW w:w="8442" w:type="dxa"/>
        <w:tblInd w:w="31" w:type="dxa"/>
        <w:tblLook w:val="04A0" w:firstRow="1" w:lastRow="0" w:firstColumn="1" w:lastColumn="0" w:noHBand="0" w:noVBand="1"/>
      </w:tblPr>
      <w:tblGrid>
        <w:gridCol w:w="5761"/>
        <w:gridCol w:w="720"/>
        <w:gridCol w:w="720"/>
        <w:gridCol w:w="1241"/>
      </w:tblGrid>
      <w:tr w:rsidR="00EA6F89" w14:paraId="37344B1E" w14:textId="77777777">
        <w:trPr>
          <w:trHeight w:val="26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7718205" w14:textId="41D7A928" w:rsidR="00EA6F89" w:rsidRDefault="00C25B05">
            <w:pPr>
              <w:spacing w:line="259" w:lineRule="auto"/>
            </w:pPr>
            <w:r>
              <w:rPr>
                <w:b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95A93F" w14:textId="77777777" w:rsidR="00EA6F89" w:rsidRDefault="00EA6F89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8AAEE8" w14:textId="77777777" w:rsidR="00EA6F89" w:rsidRDefault="00EA6F89">
            <w:pPr>
              <w:spacing w:after="160" w:line="259" w:lineRule="auto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364A5AA" w14:textId="77777777" w:rsidR="00EA6F89" w:rsidRDefault="00EA6F89">
            <w:pPr>
              <w:spacing w:after="160" w:line="259" w:lineRule="auto"/>
            </w:pPr>
          </w:p>
        </w:tc>
      </w:tr>
      <w:tr w:rsidR="00EA6F89" w14:paraId="5238C944" w14:textId="77777777">
        <w:trPr>
          <w:trHeight w:val="82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C328800" w14:textId="6CE9D4EC" w:rsidR="00EA6F89" w:rsidRDefault="00C25B05" w:rsidP="008021C4">
            <w:pPr>
              <w:tabs>
                <w:tab w:val="center" w:pos="2881"/>
                <w:tab w:val="center" w:pos="3601"/>
                <w:tab w:val="center" w:pos="4321"/>
                <w:tab w:val="center" w:pos="5041"/>
              </w:tabs>
              <w:spacing w:line="259" w:lineRule="auto"/>
            </w:pPr>
            <w:r>
              <w:lastRenderedPageBreak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rPr>
                <w:b/>
              </w:rPr>
              <w:t xml:space="preserve"> </w:t>
            </w:r>
          </w:p>
          <w:p w14:paraId="14D45C3B" w14:textId="77777777" w:rsidR="00EA6F89" w:rsidRDefault="00C25B05">
            <w:pPr>
              <w:spacing w:line="259" w:lineRule="auto"/>
            </w:pPr>
            <w:r>
              <w:rPr>
                <w:b/>
              </w:rPr>
              <w:t xml:space="preserve">Jewish Theological Seminary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E30FB6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DE8F82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B34589F" w14:textId="222A8531" w:rsidR="00EA6F89" w:rsidRDefault="00C25B05">
            <w:pPr>
              <w:spacing w:line="259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EA6F89" w14:paraId="16EA9098" w14:textId="77777777">
        <w:trPr>
          <w:trHeight w:val="82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78E1922" w14:textId="77777777" w:rsidR="00EA6F89" w:rsidRDefault="00C25B05">
            <w:pPr>
              <w:tabs>
                <w:tab w:val="center" w:pos="3601"/>
                <w:tab w:val="center" w:pos="4321"/>
                <w:tab w:val="center" w:pos="5041"/>
              </w:tabs>
              <w:spacing w:line="259" w:lineRule="auto"/>
            </w:pPr>
            <w:r>
              <w:rPr>
                <w:i/>
              </w:rPr>
              <w:t>Honorary Doctorate of Laws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167089D" w14:textId="77777777" w:rsidR="00EA6F89" w:rsidRDefault="00C25B05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14:paraId="78C25203" w14:textId="77777777" w:rsidR="00EA6F89" w:rsidRDefault="00C25B05">
            <w:pPr>
              <w:spacing w:line="259" w:lineRule="auto"/>
            </w:pPr>
            <w:r>
              <w:rPr>
                <w:b/>
              </w:rPr>
              <w:t xml:space="preserve">Davis, Polk &amp; Wardwell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D13B45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DB9B68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DE5E0B7" w14:textId="77777777" w:rsidR="00EA6F89" w:rsidRDefault="00C25B05">
            <w:pPr>
              <w:spacing w:line="259" w:lineRule="auto"/>
              <w:jc w:val="both"/>
            </w:pPr>
            <w:r>
              <w:t>Spring 2009</w:t>
            </w:r>
            <w:r>
              <w:rPr>
                <w:b/>
              </w:rPr>
              <w:t xml:space="preserve"> </w:t>
            </w:r>
          </w:p>
        </w:tc>
      </w:tr>
      <w:tr w:rsidR="00EA6F89" w14:paraId="67C13C6E" w14:textId="77777777">
        <w:trPr>
          <w:trHeight w:val="82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FB9CEF7" w14:textId="77777777" w:rsidR="00EA6F89" w:rsidRDefault="00C25B05">
            <w:pPr>
              <w:tabs>
                <w:tab w:val="center" w:pos="3601"/>
                <w:tab w:val="center" w:pos="4321"/>
                <w:tab w:val="center" w:pos="5041"/>
              </w:tabs>
              <w:spacing w:line="259" w:lineRule="auto"/>
            </w:pPr>
            <w:r>
              <w:rPr>
                <w:i/>
              </w:rPr>
              <w:t>Associate (Tax Department)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645B8F7" w14:textId="77777777" w:rsidR="00EA6F89" w:rsidRDefault="00C25B05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4BD5B066" w14:textId="77777777" w:rsidR="00EA6F89" w:rsidRDefault="00C25B05">
            <w:pPr>
              <w:spacing w:line="259" w:lineRule="auto"/>
            </w:pPr>
            <w:r>
              <w:rPr>
                <w:b/>
              </w:rPr>
              <w:t xml:space="preserve">Justice Ruth Bader Ginsburg, U.S. Supreme Court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DD1CA2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A05C0D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2F83976" w14:textId="77777777" w:rsidR="00EA6F89" w:rsidRDefault="00C25B05">
            <w:pPr>
              <w:spacing w:line="259" w:lineRule="auto"/>
              <w:jc w:val="both"/>
            </w:pPr>
            <w:r>
              <w:t xml:space="preserve">1995–1998 </w:t>
            </w:r>
          </w:p>
        </w:tc>
      </w:tr>
      <w:tr w:rsidR="00EA6F89" w14:paraId="6E831C09" w14:textId="77777777">
        <w:trPr>
          <w:trHeight w:val="545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B383C9F" w14:textId="77777777" w:rsidR="00EA6F89" w:rsidRDefault="00C25B05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</w:tabs>
              <w:spacing w:line="259" w:lineRule="auto"/>
            </w:pPr>
            <w:r>
              <w:rPr>
                <w:i/>
              </w:rPr>
              <w:t>Law Clerk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77A98D9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4684AF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D3532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E904F" w14:textId="77777777" w:rsidR="00EA6F89" w:rsidRDefault="00C25B05">
            <w:pPr>
              <w:spacing w:line="259" w:lineRule="auto"/>
              <w:jc w:val="both"/>
            </w:pPr>
            <w:r>
              <w:t>1994–1995</w:t>
            </w:r>
            <w:r>
              <w:rPr>
                <w:b/>
              </w:rPr>
              <w:t xml:space="preserve"> </w:t>
            </w:r>
          </w:p>
        </w:tc>
      </w:tr>
      <w:tr w:rsidR="00EA6F89" w14:paraId="4A331015" w14:textId="77777777">
        <w:trPr>
          <w:trHeight w:val="284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707E" w14:textId="77777777" w:rsidR="00EA6F89" w:rsidRDefault="00C25B05">
            <w:pPr>
              <w:spacing w:line="259" w:lineRule="auto"/>
            </w:pPr>
            <w:r>
              <w:rPr>
                <w:b/>
              </w:rPr>
              <w:t xml:space="preserve">Judge Alex </w:t>
            </w:r>
            <w:proofErr w:type="spellStart"/>
            <w:r>
              <w:rPr>
                <w:b/>
              </w:rPr>
              <w:t>Kozinski</w:t>
            </w:r>
            <w:proofErr w:type="spellEnd"/>
            <w:r>
              <w:rPr>
                <w:b/>
              </w:rPr>
              <w:t xml:space="preserve">, U.S. Court of Appeals, Ninth Circuit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368EB" w14:textId="77777777" w:rsidR="00EA6F89" w:rsidRDefault="00EA6F8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DCBC5D" w14:textId="77777777" w:rsidR="00EA6F89" w:rsidRDefault="00EA6F89">
            <w:pPr>
              <w:spacing w:after="160" w:line="259" w:lineRule="auto"/>
            </w:pPr>
          </w:p>
        </w:tc>
      </w:tr>
      <w:tr w:rsidR="00EA6F89" w14:paraId="4FC24344" w14:textId="77777777">
        <w:trPr>
          <w:trHeight w:val="269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CCD5F" w14:textId="77777777" w:rsidR="00EA6F89" w:rsidRDefault="00C25B05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259" w:lineRule="auto"/>
            </w:pPr>
            <w:r>
              <w:rPr>
                <w:i/>
              </w:rPr>
              <w:t>Law Clerk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5F83E3" w14:textId="77777777" w:rsidR="00EA6F89" w:rsidRDefault="00C25B0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537527" w14:textId="77777777" w:rsidR="00EA6F89" w:rsidRDefault="00C25B05">
            <w:pPr>
              <w:spacing w:line="259" w:lineRule="auto"/>
              <w:jc w:val="both"/>
            </w:pPr>
            <w:r>
              <w:t>1993–1994</w:t>
            </w:r>
            <w:r>
              <w:rPr>
                <w:b/>
              </w:rPr>
              <w:t xml:space="preserve"> </w:t>
            </w:r>
          </w:p>
        </w:tc>
      </w:tr>
    </w:tbl>
    <w:p w14:paraId="6724D5B7" w14:textId="1D1E682F" w:rsidR="00EA6F89" w:rsidRDefault="00C25B05" w:rsidP="00AA2AF8">
      <w:pPr>
        <w:spacing w:line="259" w:lineRule="auto"/>
      </w:pPr>
      <w:r>
        <w:rPr>
          <w:b/>
        </w:rPr>
        <w:t xml:space="preserve"> </w:t>
      </w:r>
    </w:p>
    <w:p w14:paraId="0B27C6A5" w14:textId="77777777" w:rsidR="00EA6F89" w:rsidRDefault="00C25B05">
      <w:pPr>
        <w:pStyle w:val="Heading1"/>
        <w:tabs>
          <w:tab w:val="center" w:pos="2191"/>
        </w:tabs>
        <w:ind w:left="0" w:firstLine="0"/>
      </w:pPr>
      <w:r>
        <w:t>EDUCATION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</w:p>
    <w:p w14:paraId="0FFC5068" w14:textId="77777777" w:rsidR="00EA6F89" w:rsidRDefault="00C25B05">
      <w:pPr>
        <w:spacing w:line="259" w:lineRule="auto"/>
        <w:ind w:left="31"/>
      </w:pPr>
      <w:r>
        <w:t xml:space="preserve"> </w:t>
      </w:r>
    </w:p>
    <w:p w14:paraId="5DA55C8D" w14:textId="77777777" w:rsidR="00EA6F89" w:rsidRDefault="00C25B05">
      <w:pPr>
        <w:ind w:left="26"/>
      </w:pPr>
      <w:r>
        <w:t xml:space="preserve">Yale Law School </w:t>
      </w:r>
    </w:p>
    <w:p w14:paraId="2BDC84F6" w14:textId="77777777" w:rsidR="00EA6F89" w:rsidRDefault="00C25B05">
      <w:pPr>
        <w:tabs>
          <w:tab w:val="center" w:pos="1246"/>
        </w:tabs>
      </w:pPr>
      <w:r>
        <w:t xml:space="preserve"> </w:t>
      </w:r>
      <w:r>
        <w:tab/>
        <w:t xml:space="preserve">J.D., 1993 </w:t>
      </w:r>
    </w:p>
    <w:p w14:paraId="45E58EE2" w14:textId="77777777" w:rsidR="00EA6F89" w:rsidRDefault="00C25B05">
      <w:pPr>
        <w:tabs>
          <w:tab w:val="center" w:pos="2475"/>
        </w:tabs>
      </w:pPr>
      <w:r>
        <w:rPr>
          <w:i/>
        </w:rPr>
        <w:t xml:space="preserve"> </w:t>
      </w:r>
      <w:r>
        <w:rPr>
          <w:i/>
        </w:rPr>
        <w:tab/>
        <w:t>Yale Law Journal</w:t>
      </w:r>
      <w:r>
        <w:t xml:space="preserve">, Executive Editor </w:t>
      </w:r>
    </w:p>
    <w:p w14:paraId="12A752D0" w14:textId="77777777" w:rsidR="00EA6F89" w:rsidRDefault="00C25B05">
      <w:pPr>
        <w:tabs>
          <w:tab w:val="center" w:pos="2929"/>
        </w:tabs>
      </w:pPr>
      <w:r>
        <w:t xml:space="preserve"> </w:t>
      </w:r>
      <w:r>
        <w:tab/>
        <w:t xml:space="preserve">Federalist Society, Vice President / Treasurer </w:t>
      </w:r>
    </w:p>
    <w:p w14:paraId="3820BFD1" w14:textId="77777777" w:rsidR="00EA6F89" w:rsidRDefault="00C25B05">
      <w:pPr>
        <w:spacing w:line="259" w:lineRule="auto"/>
        <w:ind w:left="31"/>
      </w:pPr>
      <w:r>
        <w:t xml:space="preserve"> </w:t>
      </w:r>
    </w:p>
    <w:p w14:paraId="5B6B8EFD" w14:textId="77777777" w:rsidR="00EA6F89" w:rsidRDefault="00C25B05">
      <w:pPr>
        <w:ind w:left="26"/>
      </w:pPr>
      <w:r>
        <w:t xml:space="preserve">Yale College </w:t>
      </w:r>
    </w:p>
    <w:p w14:paraId="4859667D" w14:textId="77777777" w:rsidR="00EA6F89" w:rsidRDefault="00C25B05">
      <w:pPr>
        <w:tabs>
          <w:tab w:val="center" w:pos="3658"/>
        </w:tabs>
      </w:pPr>
      <w:r>
        <w:t xml:space="preserve"> </w:t>
      </w:r>
      <w:r>
        <w:tab/>
        <w:t xml:space="preserve">M.A., History, 1990. B.A., History, </w:t>
      </w:r>
      <w:r>
        <w:rPr>
          <w:i/>
        </w:rPr>
        <w:t>summa cum laude</w:t>
      </w:r>
      <w:r>
        <w:t xml:space="preserve">, 1990 </w:t>
      </w:r>
    </w:p>
    <w:p w14:paraId="0C41160A" w14:textId="0E3DA570" w:rsidR="00EA6F89" w:rsidRDefault="00C25B05" w:rsidP="00520F56">
      <w:pPr>
        <w:tabs>
          <w:tab w:val="center" w:pos="1504"/>
        </w:tabs>
      </w:pPr>
      <w:r>
        <w:t xml:space="preserve"> </w:t>
      </w:r>
      <w:r>
        <w:tab/>
        <w:t xml:space="preserve">Phi Beta Kappa </w:t>
      </w:r>
    </w:p>
    <w:p w14:paraId="37F73ED2" w14:textId="77777777" w:rsidR="00EA6F89" w:rsidRDefault="00C25B05">
      <w:pPr>
        <w:spacing w:line="259" w:lineRule="auto"/>
        <w:ind w:left="31"/>
      </w:pPr>
      <w:r>
        <w:rPr>
          <w:b/>
        </w:rPr>
        <w:t xml:space="preserve"> </w:t>
      </w:r>
    </w:p>
    <w:p w14:paraId="2331D92E" w14:textId="77777777" w:rsidR="00EA6F89" w:rsidRDefault="00C25B05">
      <w:pPr>
        <w:pStyle w:val="Heading1"/>
        <w:ind w:left="26"/>
      </w:pPr>
      <w:r>
        <w:t xml:space="preserve">SELECTED BOARD SERVICE </w:t>
      </w:r>
    </w:p>
    <w:p w14:paraId="4A6579D9" w14:textId="77777777" w:rsidR="00EA6F89" w:rsidRDefault="00C25B05">
      <w:pPr>
        <w:spacing w:line="259" w:lineRule="auto"/>
        <w:ind w:left="31"/>
      </w:pPr>
      <w:r>
        <w:t xml:space="preserve"> </w:t>
      </w:r>
    </w:p>
    <w:p w14:paraId="1AAC3E31" w14:textId="03A24758" w:rsidR="00814192" w:rsidRDefault="00814192">
      <w:pPr>
        <w:ind w:left="26"/>
      </w:pPr>
      <w:r>
        <w:t xml:space="preserve">Feil Properties, Board of Directors (private real estate company) (2017 to </w:t>
      </w:r>
      <w:r w:rsidR="00A8577D">
        <w:t>2022</w:t>
      </w:r>
      <w:r>
        <w:t>).</w:t>
      </w:r>
    </w:p>
    <w:p w14:paraId="0688A47B" w14:textId="77777777" w:rsidR="00814192" w:rsidRDefault="00814192">
      <w:pPr>
        <w:ind w:left="26"/>
      </w:pPr>
    </w:p>
    <w:p w14:paraId="7366CFCD" w14:textId="41176E3B" w:rsidR="00EA6F89" w:rsidRDefault="00C25B05" w:rsidP="00814192">
      <w:pPr>
        <w:ind w:left="26"/>
      </w:pPr>
      <w:proofErr w:type="spellStart"/>
      <w:r>
        <w:t>Seacor</w:t>
      </w:r>
      <w:proofErr w:type="spellEnd"/>
      <w:r>
        <w:t xml:space="preserve"> Holdings Inc., Board of Directors (member of audit and nominating committees of NYSE-traded shipping company) (2014–</w:t>
      </w:r>
      <w:r w:rsidR="00814192">
        <w:t>2021)</w:t>
      </w:r>
      <w:r>
        <w:t xml:space="preserve">. </w:t>
      </w:r>
    </w:p>
    <w:p w14:paraId="4A3EF03F" w14:textId="77777777" w:rsidR="00EA6F89" w:rsidRDefault="00C25B05">
      <w:pPr>
        <w:spacing w:line="259" w:lineRule="auto"/>
        <w:ind w:left="31"/>
      </w:pPr>
      <w:r>
        <w:t xml:space="preserve"> </w:t>
      </w:r>
    </w:p>
    <w:p w14:paraId="6B9375A1" w14:textId="21E1F490" w:rsidR="00EA6F89" w:rsidRDefault="00C25B05" w:rsidP="00814192">
      <w:r>
        <w:t>LegalZoom, Legal Advisory Coun</w:t>
      </w:r>
      <w:r w:rsidR="004C6FBE">
        <w:t>cil</w:t>
      </w:r>
      <w:r>
        <w:t xml:space="preserve"> (2012–</w:t>
      </w:r>
      <w:r w:rsidR="00814192">
        <w:t>2022</w:t>
      </w:r>
      <w:r>
        <w:t xml:space="preserve">). </w:t>
      </w:r>
    </w:p>
    <w:p w14:paraId="13148C0A" w14:textId="77777777" w:rsidR="00EA6F89" w:rsidRDefault="00C25B05">
      <w:pPr>
        <w:spacing w:line="259" w:lineRule="auto"/>
        <w:ind w:left="31"/>
      </w:pPr>
      <w:r>
        <w:t xml:space="preserve"> </w:t>
      </w:r>
    </w:p>
    <w:p w14:paraId="164D1A80" w14:textId="77777777" w:rsidR="00EA6F89" w:rsidRDefault="00C25B05">
      <w:pPr>
        <w:ind w:left="26"/>
      </w:pPr>
      <w:r>
        <w:t xml:space="preserve">Q-Comm Corporation, Board of Directors (privately held cable company) (2007–2010). </w:t>
      </w:r>
    </w:p>
    <w:p w14:paraId="26FE6330" w14:textId="77777777" w:rsidR="00EA6F89" w:rsidRDefault="00C25B05">
      <w:pPr>
        <w:spacing w:line="259" w:lineRule="auto"/>
        <w:ind w:left="31"/>
      </w:pPr>
      <w:r>
        <w:t xml:space="preserve"> </w:t>
      </w:r>
    </w:p>
    <w:p w14:paraId="082FF53E" w14:textId="77777777" w:rsidR="00EA6F89" w:rsidRDefault="00C25B05">
      <w:pPr>
        <w:ind w:left="26"/>
      </w:pPr>
      <w:r>
        <w:t xml:space="preserve">Sapphire Industrials Corp., Board of Directors (a publicly traded blank-check acquisition company) (2007–2010). </w:t>
      </w:r>
    </w:p>
    <w:p w14:paraId="5751C8A5" w14:textId="77777777" w:rsidR="00EA6F89" w:rsidRDefault="00C25B05">
      <w:pPr>
        <w:spacing w:line="259" w:lineRule="auto"/>
        <w:ind w:left="31"/>
      </w:pPr>
      <w:r>
        <w:rPr>
          <w:b/>
        </w:rPr>
        <w:t xml:space="preserve"> </w:t>
      </w:r>
    </w:p>
    <w:p w14:paraId="778B3BB4" w14:textId="77777777" w:rsidR="00EA6F89" w:rsidRDefault="00C25B05">
      <w:pPr>
        <w:pStyle w:val="Heading1"/>
        <w:ind w:left="26"/>
      </w:pPr>
      <w:r>
        <w:t xml:space="preserve">SELECTED VOLUNTEER ACTIVITIES </w:t>
      </w:r>
    </w:p>
    <w:p w14:paraId="5C7C4C15" w14:textId="6350777F" w:rsidR="00713D01" w:rsidRDefault="00C25B05" w:rsidP="00D35E3B">
      <w:pPr>
        <w:spacing w:line="259" w:lineRule="auto"/>
        <w:ind w:left="31"/>
      </w:pPr>
      <w:r>
        <w:t xml:space="preserve"> </w:t>
      </w:r>
    </w:p>
    <w:p w14:paraId="113ABB18" w14:textId="5F19900F" w:rsidR="00EA6F89" w:rsidRDefault="00C25B05">
      <w:pPr>
        <w:ind w:left="26"/>
      </w:pPr>
      <w:r>
        <w:t xml:space="preserve">Ramaz School, </w:t>
      </w:r>
      <w:r w:rsidR="00B724D8">
        <w:t xml:space="preserve">Charter Trustee (2018–present); </w:t>
      </w:r>
      <w:r>
        <w:t>Board of Directors (2015–</w:t>
      </w:r>
      <w:r w:rsidR="001B0671">
        <w:t>2017</w:t>
      </w:r>
      <w:r>
        <w:t xml:space="preserve">). </w:t>
      </w:r>
    </w:p>
    <w:p w14:paraId="7A0DCA9E" w14:textId="77777777" w:rsidR="00AA2AF8" w:rsidRDefault="00AA2AF8" w:rsidP="00AA2AF8">
      <w:pPr>
        <w:spacing w:line="259" w:lineRule="auto"/>
        <w:ind w:left="31"/>
      </w:pPr>
    </w:p>
    <w:p w14:paraId="1452AD8D" w14:textId="00BBF699" w:rsidR="003B310D" w:rsidRDefault="003B310D" w:rsidP="00AA2AF8">
      <w:pPr>
        <w:spacing w:line="259" w:lineRule="auto"/>
        <w:ind w:left="31"/>
      </w:pPr>
      <w:r>
        <w:t>Federalist Society, Board of Visitors (since 2023)</w:t>
      </w:r>
    </w:p>
    <w:p w14:paraId="2485C3B3" w14:textId="77777777" w:rsidR="003B310D" w:rsidRDefault="003B310D" w:rsidP="00AA2AF8">
      <w:pPr>
        <w:spacing w:line="259" w:lineRule="auto"/>
        <w:ind w:left="31"/>
      </w:pPr>
    </w:p>
    <w:p w14:paraId="3A70D147" w14:textId="22117F70" w:rsidR="00814192" w:rsidRDefault="00814192" w:rsidP="00AA2AF8">
      <w:pPr>
        <w:spacing w:line="259" w:lineRule="auto"/>
        <w:ind w:left="31"/>
      </w:pPr>
      <w:r>
        <w:t>Columbia Law Review, Board of Directors (2004–2014, 2015–</w:t>
      </w:r>
      <w:r w:rsidR="00713D01">
        <w:t>2024</w:t>
      </w:r>
      <w:r>
        <w:t xml:space="preserve">). </w:t>
      </w:r>
    </w:p>
    <w:p w14:paraId="1F34BA0F" w14:textId="77777777" w:rsidR="00AA2AF8" w:rsidRDefault="00AA2AF8">
      <w:pPr>
        <w:ind w:left="26"/>
      </w:pPr>
    </w:p>
    <w:p w14:paraId="42B32780" w14:textId="7E22FC44" w:rsidR="00EA6F89" w:rsidRDefault="00C25B05">
      <w:pPr>
        <w:ind w:left="26"/>
      </w:pPr>
      <w:r>
        <w:t>92</w:t>
      </w:r>
      <w:r>
        <w:rPr>
          <w:vertAlign w:val="superscript"/>
        </w:rPr>
        <w:t>nd</w:t>
      </w:r>
      <w:r>
        <w:t xml:space="preserve"> Street Y, Board of Directors (co-chair of governance committee and chair of inter</w:t>
      </w:r>
      <w:r w:rsidR="001B7A92">
        <w:t>im law committee) (2014–2019</w:t>
      </w:r>
      <w:r w:rsidR="00FD5F1F">
        <w:t>)</w:t>
      </w:r>
      <w:r>
        <w:t xml:space="preserve">. </w:t>
      </w:r>
    </w:p>
    <w:p w14:paraId="6DFF3A74" w14:textId="77777777" w:rsidR="00EA6F89" w:rsidRDefault="00C25B05">
      <w:pPr>
        <w:spacing w:line="259" w:lineRule="auto"/>
        <w:ind w:left="31"/>
      </w:pPr>
      <w:r>
        <w:t xml:space="preserve"> </w:t>
      </w:r>
    </w:p>
    <w:p w14:paraId="7A4ED781" w14:textId="1C924BD2" w:rsidR="00EA6F89" w:rsidRDefault="00C25B05">
      <w:pPr>
        <w:ind w:left="26"/>
      </w:pPr>
      <w:r>
        <w:t>Yale Hillel, Board of Directors (2018–</w:t>
      </w:r>
      <w:r w:rsidR="00A43B5C">
        <w:t>2020</w:t>
      </w:r>
      <w:r>
        <w:t xml:space="preserve">). </w:t>
      </w:r>
    </w:p>
    <w:p w14:paraId="3DAE6F8B" w14:textId="77777777" w:rsidR="00EA6F89" w:rsidRDefault="00C25B05">
      <w:pPr>
        <w:spacing w:line="259" w:lineRule="auto"/>
        <w:ind w:left="31"/>
      </w:pPr>
      <w:r>
        <w:t xml:space="preserve"> </w:t>
      </w:r>
    </w:p>
    <w:p w14:paraId="67F9EEC0" w14:textId="6BDAC394" w:rsidR="00EA6F89" w:rsidRDefault="00C25B05">
      <w:pPr>
        <w:ind w:left="26"/>
      </w:pPr>
      <w:r>
        <w:t>New York State Bar Association Tax Section E</w:t>
      </w:r>
      <w:r w:rsidR="00FD5F1F">
        <w:t>xecutive Committee (1999–2019</w:t>
      </w:r>
      <w:r w:rsidR="00713D01">
        <w:t>, 2023--present</w:t>
      </w:r>
      <w:r>
        <w:t xml:space="preserve">). </w:t>
      </w:r>
    </w:p>
    <w:p w14:paraId="7A4931FC" w14:textId="77777777" w:rsidR="00EA6F89" w:rsidRDefault="00C25B05">
      <w:pPr>
        <w:spacing w:line="259" w:lineRule="auto"/>
        <w:ind w:left="31"/>
      </w:pPr>
      <w:r>
        <w:t xml:space="preserve"> </w:t>
      </w:r>
    </w:p>
    <w:p w14:paraId="650F8283" w14:textId="77777777" w:rsidR="00EA6F89" w:rsidRDefault="00C25B05">
      <w:pPr>
        <w:ind w:left="26"/>
      </w:pPr>
      <w:r>
        <w:t xml:space="preserve">Tax Club (organization of New York tax practitioners who meet monthly to discuss tax research), Member (2000–2017); Emeritus Member (2018–present). </w:t>
      </w:r>
    </w:p>
    <w:p w14:paraId="1F0EC012" w14:textId="77777777" w:rsidR="00EA6F89" w:rsidRDefault="00C25B05">
      <w:pPr>
        <w:spacing w:line="259" w:lineRule="auto"/>
        <w:ind w:left="31"/>
      </w:pPr>
      <w:r>
        <w:t xml:space="preserve"> </w:t>
      </w:r>
    </w:p>
    <w:p w14:paraId="13EB3C46" w14:textId="77777777" w:rsidR="00EA6F89" w:rsidRDefault="00C25B05">
      <w:pPr>
        <w:ind w:left="26"/>
      </w:pPr>
      <w:r>
        <w:t xml:space="preserve">Tax Forum (organization of New York tax practitioners who meet monthly to discuss tax research), Member (2002–2017); Emeritus Member (2018–present). </w:t>
      </w:r>
    </w:p>
    <w:p w14:paraId="4273F2B7" w14:textId="77777777" w:rsidR="00EA6F89" w:rsidRDefault="00C25B05">
      <w:pPr>
        <w:spacing w:line="259" w:lineRule="auto"/>
        <w:ind w:left="31"/>
      </w:pPr>
      <w:r>
        <w:t xml:space="preserve"> </w:t>
      </w:r>
    </w:p>
    <w:p w14:paraId="7533338A" w14:textId="77777777" w:rsidR="00EA6F89" w:rsidRDefault="00C25B05">
      <w:pPr>
        <w:ind w:left="26"/>
      </w:pPr>
      <w:r>
        <w:t xml:space="preserve">Voices of America in Israel, President (nonprofit that arranges trips to Israel for leaders in U.S. news, media, and entertainment sectors) (2015–2016). </w:t>
      </w:r>
    </w:p>
    <w:p w14:paraId="484D25E6" w14:textId="77777777" w:rsidR="00EA6F89" w:rsidRDefault="00C25B05">
      <w:pPr>
        <w:spacing w:line="259" w:lineRule="auto"/>
        <w:ind w:left="31"/>
      </w:pPr>
      <w:r>
        <w:t xml:space="preserve"> </w:t>
      </w:r>
    </w:p>
    <w:p w14:paraId="52B3D0A1" w14:textId="77777777" w:rsidR="00EA6F89" w:rsidRDefault="00C25B05">
      <w:pPr>
        <w:ind w:left="26"/>
      </w:pPr>
      <w:r>
        <w:t xml:space="preserve">Philadelphia Media Networks, Board of Directors (parent company of </w:t>
      </w:r>
      <w:r>
        <w:rPr>
          <w:i/>
        </w:rPr>
        <w:t>Philadelphia Inquirer</w:t>
      </w:r>
      <w:r>
        <w:t xml:space="preserve">, </w:t>
      </w:r>
      <w:r>
        <w:rPr>
          <w:i/>
        </w:rPr>
        <w:t>Philadelphia Daily News</w:t>
      </w:r>
      <w:r>
        <w:t xml:space="preserve">, and </w:t>
      </w:r>
      <w:r>
        <w:rPr>
          <w:i/>
        </w:rPr>
        <w:t>Philly.com</w:t>
      </w:r>
      <w:r>
        <w:t xml:space="preserve">) (2015–2016). </w:t>
      </w:r>
    </w:p>
    <w:p w14:paraId="575795CA" w14:textId="77777777" w:rsidR="00EA6F89" w:rsidRDefault="00C25B05">
      <w:pPr>
        <w:spacing w:line="259" w:lineRule="auto"/>
        <w:ind w:left="31"/>
      </w:pPr>
      <w:r>
        <w:t xml:space="preserve"> </w:t>
      </w:r>
    </w:p>
    <w:p w14:paraId="561A5666" w14:textId="77777777" w:rsidR="00EA6F89" w:rsidRDefault="00C25B05">
      <w:pPr>
        <w:ind w:left="26"/>
      </w:pPr>
      <w:r>
        <w:t xml:space="preserve">Institute for Journalism in New Media, Board of Directors (nonprofit owner of </w:t>
      </w:r>
    </w:p>
    <w:p w14:paraId="4B717619" w14:textId="77777777" w:rsidR="00EA6F89" w:rsidRDefault="00C25B05">
      <w:pPr>
        <w:ind w:left="26"/>
      </w:pPr>
      <w:r>
        <w:t xml:space="preserve">Philadelphia Media Networks; dedicated to preserving investigative journalism in </w:t>
      </w:r>
    </w:p>
    <w:p w14:paraId="5ACC7E43" w14:textId="77777777" w:rsidR="00EA6F89" w:rsidRDefault="00C25B05">
      <w:pPr>
        <w:ind w:left="26"/>
      </w:pPr>
      <w:r>
        <w:t xml:space="preserve">Philadelphia and to promoting innovative uses of technology in journalism) (2015–2016).  </w:t>
      </w:r>
    </w:p>
    <w:p w14:paraId="7214C0BB" w14:textId="1F97577F" w:rsidR="00EA6F89" w:rsidRDefault="00EA6F89" w:rsidP="00814192">
      <w:pPr>
        <w:spacing w:line="259" w:lineRule="auto"/>
      </w:pPr>
    </w:p>
    <w:p w14:paraId="2132B175" w14:textId="77777777" w:rsidR="00EA6F89" w:rsidRDefault="00C25B05">
      <w:pPr>
        <w:spacing w:line="259" w:lineRule="auto"/>
        <w:ind w:left="31"/>
      </w:pPr>
      <w:r>
        <w:rPr>
          <w:b/>
        </w:rPr>
        <w:t xml:space="preserve"> </w:t>
      </w:r>
    </w:p>
    <w:p w14:paraId="30CEA228" w14:textId="77777777" w:rsidR="00EA6F89" w:rsidRDefault="00C25B05">
      <w:pPr>
        <w:pStyle w:val="Heading1"/>
        <w:tabs>
          <w:tab w:val="center" w:pos="3632"/>
        </w:tabs>
        <w:ind w:left="0" w:firstLine="0"/>
      </w:pPr>
      <w:r>
        <w:t>SELECTED PUBLICATIONS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022FAB68" w14:textId="77777777" w:rsidR="00EA6F89" w:rsidRDefault="00C25B05">
      <w:pPr>
        <w:spacing w:line="259" w:lineRule="auto"/>
        <w:ind w:left="31"/>
      </w:pPr>
      <w:r>
        <w:t xml:space="preserve"> </w:t>
      </w:r>
    </w:p>
    <w:p w14:paraId="54BB94CB" w14:textId="15742E3F" w:rsidR="00A8577D" w:rsidRDefault="00A8577D">
      <w:pPr>
        <w:pStyle w:val="Heading2"/>
        <w:spacing w:after="252"/>
        <w:ind w:left="26"/>
      </w:pPr>
      <w:r>
        <w:t>Book</w:t>
      </w:r>
      <w:r w:rsidR="009C0631">
        <w:t>s</w:t>
      </w:r>
    </w:p>
    <w:p w14:paraId="0B5E0E89" w14:textId="3D61270D" w:rsidR="00A8577D" w:rsidRDefault="008A1704" w:rsidP="00520F56">
      <w:pPr>
        <w:pStyle w:val="Heading2"/>
        <w:spacing w:after="252"/>
        <w:ind w:left="26"/>
        <w:rPr>
          <w:b w:val="0"/>
          <w:bCs/>
        </w:rPr>
      </w:pPr>
      <w:hyperlink r:id="rId7" w:history="1">
        <w:r w:rsidR="0003422E" w:rsidRPr="008A1704">
          <w:rPr>
            <w:rStyle w:val="Hyperlink"/>
            <w:b w:val="0"/>
            <w:bCs/>
          </w:rPr>
          <w:t>Saving the World in Six (Not So Easy) Steps</w:t>
        </w:r>
        <w:r w:rsidR="00A8577D" w:rsidRPr="008A1704">
          <w:rPr>
            <w:rStyle w:val="Hyperlink"/>
            <w:b w:val="0"/>
            <w:bCs/>
          </w:rPr>
          <w:t>: Bringing Out the Best in Nonprofits (Post Hill Press 2023)</w:t>
        </w:r>
      </w:hyperlink>
    </w:p>
    <w:p w14:paraId="2662E172" w14:textId="549192ED" w:rsidR="009C0631" w:rsidRDefault="008A1704" w:rsidP="009C0631">
      <w:pPr>
        <w:spacing w:after="3" w:line="248" w:lineRule="auto"/>
        <w:ind w:left="26" w:right="17"/>
      </w:pPr>
      <w:hyperlink r:id="rId8" w:history="1">
        <w:r w:rsidR="009C0631" w:rsidRPr="008A1704">
          <w:rPr>
            <w:rStyle w:val="Hyperlink"/>
            <w:i/>
          </w:rPr>
          <w:t>Financial Instruments:  Special Rules</w:t>
        </w:r>
        <w:r w:rsidR="009C0631" w:rsidRPr="008A1704">
          <w:rPr>
            <w:rStyle w:val="Hyperlink"/>
          </w:rPr>
          <w:t xml:space="preserve"> (2005) Bloomberg BNA (Portfolio 186).</w:t>
        </w:r>
      </w:hyperlink>
      <w:r w:rsidR="009C0631">
        <w:t xml:space="preserve"> </w:t>
      </w:r>
    </w:p>
    <w:p w14:paraId="28936491" w14:textId="77777777" w:rsidR="0008670E" w:rsidRDefault="0008670E" w:rsidP="00713D01">
      <w:pPr>
        <w:pStyle w:val="Heading2"/>
        <w:spacing w:after="252"/>
        <w:ind w:left="0" w:firstLine="0"/>
      </w:pPr>
    </w:p>
    <w:p w14:paraId="5472F2B3" w14:textId="1D02961E" w:rsidR="00D71FC9" w:rsidRPr="00D71FC9" w:rsidRDefault="00A8577D" w:rsidP="00D71FC9">
      <w:pPr>
        <w:pStyle w:val="Heading2"/>
        <w:spacing w:after="252"/>
        <w:ind w:left="0" w:firstLine="0"/>
      </w:pPr>
      <w:r>
        <w:t>A</w:t>
      </w:r>
      <w:r w:rsidR="00C25B05">
        <w:t>rticles</w:t>
      </w:r>
      <w:r w:rsidR="003B310D">
        <w:t>, Briefs, and Reports</w:t>
      </w:r>
      <w:r w:rsidR="00C25B05">
        <w:rPr>
          <w:i w:val="0"/>
        </w:rPr>
        <w:t xml:space="preserve"> </w:t>
      </w:r>
    </w:p>
    <w:p w14:paraId="4880D24C" w14:textId="6D0B70C4" w:rsidR="005137BC" w:rsidRPr="003B310D" w:rsidRDefault="008A1704" w:rsidP="00D71FC9">
      <w:pPr>
        <w:pStyle w:val="Heading1"/>
        <w:spacing w:after="75" w:line="240" w:lineRule="auto"/>
        <w:rPr>
          <w:rFonts w:asciiTheme="majorBidi" w:hAnsiTheme="majorBidi" w:cstheme="majorBidi"/>
          <w:b w:val="0"/>
          <w:bCs/>
          <w:iCs/>
          <w:color w:val="000000" w:themeColor="text1"/>
        </w:rPr>
      </w:pPr>
      <w:hyperlink r:id="rId9" w:history="1">
        <w:r w:rsidR="005137BC" w:rsidRPr="008A1704">
          <w:rPr>
            <w:rStyle w:val="Hyperlink"/>
            <w:rFonts w:asciiTheme="majorBidi" w:hAnsiTheme="majorBidi" w:cstheme="majorBidi"/>
            <w:b w:val="0"/>
            <w:bCs/>
            <w:i/>
            <w:iCs/>
            <w:szCs w:val="24"/>
          </w:rPr>
          <w:t>Wealth Taxes Under the Constitution: An Originalist Analysis</w:t>
        </w:r>
        <w:r w:rsidR="005137BC" w:rsidRPr="008A1704">
          <w:rPr>
            <w:rStyle w:val="Hyperlink"/>
            <w:rFonts w:asciiTheme="majorBidi" w:hAnsiTheme="majorBidi" w:cstheme="majorBidi"/>
            <w:b w:val="0"/>
            <w:bCs/>
            <w:szCs w:val="24"/>
          </w:rPr>
          <w:t>, Florida L. Rev.</w:t>
        </w:r>
        <w:r w:rsidR="005137BC" w:rsidRPr="008A1704">
          <w:rPr>
            <w:rStyle w:val="Hyperlink"/>
            <w:rFonts w:asciiTheme="majorBidi" w:hAnsiTheme="majorBidi" w:cstheme="majorBidi"/>
            <w:b w:val="0"/>
            <w:bCs/>
            <w:smallCaps/>
            <w:szCs w:val="24"/>
            <w:bdr w:val="none" w:sz="0" w:space="0" w:color="auto" w:frame="1"/>
            <w:shd w:val="clear" w:color="auto" w:fill="FFFFFF"/>
            <w:lang w:bidi="he-IL"/>
          </w:rPr>
          <w:t xml:space="preserve"> </w:t>
        </w:r>
        <w:r w:rsidR="005137BC" w:rsidRPr="008A1704">
          <w:rPr>
            <w:rStyle w:val="Hyperlink"/>
            <w:rFonts w:asciiTheme="majorBidi" w:hAnsiTheme="majorBidi" w:cstheme="majorBidi"/>
            <w:b w:val="0"/>
            <w:bCs/>
            <w:iCs/>
          </w:rPr>
          <w:t xml:space="preserve">(forthcoming 2024) (with Steven </w:t>
        </w:r>
        <w:proofErr w:type="spellStart"/>
        <w:r w:rsidR="005137BC" w:rsidRPr="008A1704">
          <w:rPr>
            <w:rStyle w:val="Hyperlink"/>
            <w:rFonts w:asciiTheme="majorBidi" w:hAnsiTheme="majorBidi" w:cstheme="majorBidi"/>
            <w:b w:val="0"/>
            <w:bCs/>
            <w:iCs/>
          </w:rPr>
          <w:t>Calabresi</w:t>
        </w:r>
        <w:proofErr w:type="spellEnd"/>
        <w:r w:rsidR="005137BC" w:rsidRPr="008A1704">
          <w:rPr>
            <w:rStyle w:val="Hyperlink"/>
            <w:rFonts w:asciiTheme="majorBidi" w:hAnsiTheme="majorBidi" w:cstheme="majorBidi"/>
            <w:b w:val="0"/>
            <w:bCs/>
            <w:iCs/>
          </w:rPr>
          <w:t>)</w:t>
        </w:r>
        <w:r w:rsidR="00713D01" w:rsidRPr="008A1704">
          <w:rPr>
            <w:rStyle w:val="Hyperlink"/>
            <w:rFonts w:asciiTheme="majorBidi" w:hAnsiTheme="majorBidi" w:cstheme="majorBidi"/>
            <w:b w:val="0"/>
            <w:bCs/>
            <w:iCs/>
          </w:rPr>
          <w:t>.</w:t>
        </w:r>
      </w:hyperlink>
    </w:p>
    <w:p w14:paraId="6B597541" w14:textId="77777777" w:rsidR="005137BC" w:rsidRPr="003B310D" w:rsidRDefault="005137BC" w:rsidP="005137BC">
      <w:pPr>
        <w:rPr>
          <w:color w:val="000000" w:themeColor="text1"/>
        </w:rPr>
      </w:pPr>
    </w:p>
    <w:p w14:paraId="2D81F95C" w14:textId="7B32D0AD" w:rsidR="003B310D" w:rsidRDefault="008A1704" w:rsidP="002C6CB0">
      <w:pPr>
        <w:rPr>
          <w:rFonts w:asciiTheme="majorBidi" w:hAnsiTheme="majorBidi" w:cstheme="majorBidi"/>
          <w:color w:val="000000" w:themeColor="text1"/>
        </w:rPr>
      </w:pPr>
      <w:hyperlink r:id="rId10" w:history="1">
        <w:r w:rsidR="002C6CB0" w:rsidRPr="008A1704">
          <w:rPr>
            <w:rStyle w:val="Hyperlink"/>
            <w:rFonts w:asciiTheme="majorBidi" w:hAnsiTheme="majorBidi" w:cstheme="majorBidi"/>
            <w:i/>
          </w:rPr>
          <w:t xml:space="preserve">Red, White, and Blue--And Also Green: </w:t>
        </w:r>
        <w:r w:rsidR="002C6CB0" w:rsidRPr="008A1704">
          <w:rPr>
            <w:rStyle w:val="Hyperlink"/>
            <w:rFonts w:asciiTheme="majorBidi" w:hAnsiTheme="majorBidi" w:cstheme="majorBidi"/>
            <w:i/>
            <w:iCs/>
          </w:rPr>
          <w:t>How Energy Policy Can Protect Both National Security and the Environment</w:t>
        </w:r>
        <w:r w:rsidR="005137BC" w:rsidRPr="008A1704">
          <w:rPr>
            <w:rStyle w:val="Hyperlink"/>
            <w:rFonts w:asciiTheme="majorBidi" w:hAnsiTheme="majorBidi" w:cstheme="majorBidi"/>
            <w:i/>
            <w:iCs/>
          </w:rPr>
          <w:t>,</w:t>
        </w:r>
        <w:r w:rsidR="00DE4C39" w:rsidRPr="008A1704">
          <w:rPr>
            <w:rStyle w:val="Hyperlink"/>
            <w:rFonts w:asciiTheme="majorBidi" w:hAnsiTheme="majorBidi" w:cstheme="majorBidi"/>
            <w:i/>
          </w:rPr>
          <w:t xml:space="preserve"> </w:t>
        </w:r>
        <w:r w:rsidR="005137BC" w:rsidRPr="008A1704">
          <w:rPr>
            <w:rStyle w:val="Hyperlink"/>
            <w:rFonts w:ascii="NexusSansWebPro" w:hAnsi="NexusSansWebPro"/>
            <w:shd w:val="clear" w:color="auto" w:fill="FFFFFF"/>
          </w:rPr>
          <w:t>96 S. Cal. L. Rev. 1157</w:t>
        </w:r>
        <w:r w:rsidR="005137BC" w:rsidRPr="008A1704">
          <w:rPr>
            <w:rStyle w:val="Hyperlink"/>
            <w:rFonts w:asciiTheme="majorBidi" w:hAnsiTheme="majorBidi" w:cstheme="majorBidi"/>
          </w:rPr>
          <w:t xml:space="preserve"> </w:t>
        </w:r>
        <w:r w:rsidR="00DE4C39" w:rsidRPr="008A1704">
          <w:rPr>
            <w:rStyle w:val="Hyperlink"/>
            <w:rFonts w:asciiTheme="majorBidi" w:hAnsiTheme="majorBidi" w:cstheme="majorBidi"/>
          </w:rPr>
          <w:t>(</w:t>
        </w:r>
        <w:r w:rsidR="002C6CB0" w:rsidRPr="008A1704">
          <w:rPr>
            <w:rStyle w:val="Hyperlink"/>
            <w:rFonts w:asciiTheme="majorBidi" w:hAnsiTheme="majorBidi" w:cstheme="majorBidi"/>
          </w:rPr>
          <w:t>202</w:t>
        </w:r>
        <w:r w:rsidR="005137BC" w:rsidRPr="008A1704">
          <w:rPr>
            <w:rStyle w:val="Hyperlink"/>
            <w:rFonts w:asciiTheme="majorBidi" w:hAnsiTheme="majorBidi" w:cstheme="majorBidi"/>
          </w:rPr>
          <w:t>4</w:t>
        </w:r>
        <w:r w:rsidR="002C6CB0" w:rsidRPr="008A1704">
          <w:rPr>
            <w:rStyle w:val="Hyperlink"/>
            <w:rFonts w:asciiTheme="majorBidi" w:hAnsiTheme="majorBidi" w:cstheme="majorBidi"/>
          </w:rPr>
          <w:t>)</w:t>
        </w:r>
        <w:r w:rsidR="005137BC" w:rsidRPr="008A1704">
          <w:rPr>
            <w:rStyle w:val="Hyperlink"/>
            <w:rFonts w:asciiTheme="majorBidi" w:hAnsiTheme="majorBidi" w:cstheme="majorBidi"/>
          </w:rPr>
          <w:t>.</w:t>
        </w:r>
      </w:hyperlink>
    </w:p>
    <w:p w14:paraId="5EFA1275" w14:textId="77777777" w:rsidR="003B310D" w:rsidRDefault="003B310D" w:rsidP="002C6CB0">
      <w:pPr>
        <w:rPr>
          <w:rFonts w:asciiTheme="majorBidi" w:hAnsiTheme="majorBidi" w:cstheme="majorBidi"/>
          <w:color w:val="000000" w:themeColor="text1"/>
        </w:rPr>
      </w:pPr>
    </w:p>
    <w:p w14:paraId="5C41DF25" w14:textId="17102485" w:rsidR="00DE4C39" w:rsidRPr="008A1704" w:rsidRDefault="008A1704" w:rsidP="002C6CB0">
      <w:pPr>
        <w:rPr>
          <w:rStyle w:val="Hyperlink"/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/>
          <w:iCs/>
          <w:color w:val="000000" w:themeColor="text1"/>
        </w:rPr>
        <w:fldChar w:fldCharType="begin"/>
      </w:r>
      <w:r>
        <w:rPr>
          <w:rFonts w:asciiTheme="majorBidi" w:hAnsiTheme="majorBidi" w:cstheme="majorBidi"/>
          <w:i/>
          <w:iCs/>
          <w:color w:val="000000" w:themeColor="text1"/>
        </w:rPr>
        <w:instrText xml:space="preserve"> HYPERLINK "https://president.columbia.edu/sites/default/files/content/Report_1_Columbia_University%E2%80%99s_Rules_on_Demonstrations_March_04_2024.pdf" </w:instrText>
      </w:r>
      <w:r>
        <w:rPr>
          <w:rFonts w:asciiTheme="majorBidi" w:hAnsiTheme="majorBidi" w:cstheme="majorBidi"/>
          <w:i/>
          <w:iCs/>
          <w:color w:val="000000" w:themeColor="text1"/>
        </w:rPr>
      </w:r>
      <w:r>
        <w:rPr>
          <w:rFonts w:asciiTheme="majorBidi" w:hAnsiTheme="majorBidi" w:cstheme="majorBidi"/>
          <w:i/>
          <w:iCs/>
          <w:color w:val="000000" w:themeColor="text1"/>
        </w:rPr>
        <w:fldChar w:fldCharType="separate"/>
      </w:r>
      <w:r w:rsidR="003B310D" w:rsidRPr="008A1704">
        <w:rPr>
          <w:rStyle w:val="Hyperlink"/>
          <w:rFonts w:asciiTheme="majorBidi" w:hAnsiTheme="majorBidi" w:cstheme="majorBidi"/>
          <w:i/>
          <w:iCs/>
        </w:rPr>
        <w:t>Report # 1: Columbia University’s Rules on Demonstrations</w:t>
      </w:r>
      <w:r w:rsidR="003B310D" w:rsidRPr="008A1704">
        <w:rPr>
          <w:rStyle w:val="Hyperlink"/>
          <w:rFonts w:asciiTheme="majorBidi" w:hAnsiTheme="majorBidi" w:cstheme="majorBidi"/>
          <w:iCs/>
        </w:rPr>
        <w:t xml:space="preserve"> (for the Columbia University Task Force on Antisemitism)</w:t>
      </w:r>
      <w:r w:rsidR="00B826C2" w:rsidRPr="008A1704">
        <w:rPr>
          <w:rStyle w:val="Hyperlink"/>
          <w:rFonts w:asciiTheme="majorBidi" w:hAnsiTheme="majorBidi" w:cstheme="majorBidi"/>
          <w:iCs/>
        </w:rPr>
        <w:t>.</w:t>
      </w:r>
    </w:p>
    <w:p w14:paraId="7685F1B3" w14:textId="4951D1D0" w:rsidR="002C6CB0" w:rsidRPr="003B310D" w:rsidRDefault="008A1704" w:rsidP="002C6CB0">
      <w:pPr>
        <w:rPr>
          <w:i/>
          <w:iCs/>
          <w:color w:val="000000" w:themeColor="text1"/>
        </w:rPr>
      </w:pPr>
      <w:r>
        <w:rPr>
          <w:rFonts w:asciiTheme="majorBidi" w:hAnsiTheme="majorBidi" w:cstheme="majorBidi"/>
          <w:i/>
          <w:iCs/>
          <w:color w:val="000000" w:themeColor="text1"/>
        </w:rPr>
        <w:fldChar w:fldCharType="end"/>
      </w:r>
    </w:p>
    <w:p w14:paraId="7A22E0D7" w14:textId="7621C62D" w:rsidR="005137BC" w:rsidRPr="003B310D" w:rsidRDefault="008A1704" w:rsidP="005137BC">
      <w:pPr>
        <w:rPr>
          <w:rFonts w:ascii="NexusSansWebPro" w:hAnsi="NexusSansWebPro"/>
          <w:color w:val="000000" w:themeColor="text1"/>
          <w:shd w:val="clear" w:color="auto" w:fill="FFFFFF"/>
        </w:rPr>
      </w:pPr>
      <w:hyperlink r:id="rId11" w:history="1">
        <w:r w:rsidR="005137BC" w:rsidRPr="008A1704">
          <w:rPr>
            <w:rStyle w:val="Hyperlink"/>
            <w:rFonts w:asciiTheme="majorBidi" w:hAnsiTheme="majorBidi" w:cstheme="majorBidi"/>
            <w:i/>
          </w:rPr>
          <w:t xml:space="preserve">Transaction-Specific Tax Reform in Three Steps: The Case of Constructive Ownership, </w:t>
        </w:r>
        <w:r w:rsidR="00713D01" w:rsidRPr="008A1704">
          <w:rPr>
            <w:rStyle w:val="Hyperlink"/>
            <w:rFonts w:asciiTheme="majorBidi" w:hAnsiTheme="majorBidi" w:cstheme="majorBidi"/>
            <w:i/>
          </w:rPr>
          <w:t xml:space="preserve">15 </w:t>
        </w:r>
        <w:r w:rsidR="005137BC" w:rsidRPr="008A1704">
          <w:rPr>
            <w:rStyle w:val="Hyperlink"/>
            <w:rFonts w:ascii="NexusSansWebPro" w:hAnsi="NexusSansWebPro"/>
            <w:shd w:val="clear" w:color="auto" w:fill="FFFFFF"/>
          </w:rPr>
          <w:t xml:space="preserve">Colum. J. Tax </w:t>
        </w:r>
        <w:r w:rsidR="00713D01" w:rsidRPr="008A1704">
          <w:rPr>
            <w:rStyle w:val="Hyperlink"/>
            <w:rFonts w:ascii="NexusSansWebPro" w:hAnsi="NexusSansWebPro"/>
            <w:shd w:val="clear" w:color="auto" w:fill="FFFFFF"/>
          </w:rPr>
          <w:t>1 (2024) (with Thomas Brennan).</w:t>
        </w:r>
      </w:hyperlink>
    </w:p>
    <w:p w14:paraId="60C48563" w14:textId="77777777" w:rsidR="00D35E3B" w:rsidRPr="003B310D" w:rsidRDefault="00D35E3B" w:rsidP="005137BC">
      <w:pPr>
        <w:rPr>
          <w:rFonts w:ascii="NexusSansWebPro" w:hAnsi="NexusSansWebPro"/>
          <w:color w:val="000000" w:themeColor="text1"/>
          <w:shd w:val="clear" w:color="auto" w:fill="FFFFFF"/>
        </w:rPr>
      </w:pPr>
    </w:p>
    <w:p w14:paraId="6606DEDD" w14:textId="53CD7969" w:rsidR="003B310D" w:rsidRDefault="008A1704" w:rsidP="003B310D">
      <w:pPr>
        <w:spacing w:after="3" w:line="248" w:lineRule="auto"/>
        <w:ind w:left="26" w:right="17"/>
        <w:rPr>
          <w:color w:val="000000" w:themeColor="text1"/>
        </w:rPr>
      </w:pPr>
      <w:hyperlink r:id="rId12" w:history="1">
        <w:r w:rsidR="003B310D" w:rsidRPr="008A1704">
          <w:rPr>
            <w:rStyle w:val="Hyperlink"/>
            <w:i/>
            <w:iCs/>
          </w:rPr>
          <w:t xml:space="preserve">Brief for the American Tax Policy Institute as Amicus Curiae, U.S. v. Moore </w:t>
        </w:r>
        <w:r w:rsidR="003B310D" w:rsidRPr="008A1704">
          <w:rPr>
            <w:rStyle w:val="Hyperlink"/>
          </w:rPr>
          <w:t>(Oct. 2023)</w:t>
        </w:r>
        <w:r w:rsidR="003B310D" w:rsidRPr="008A1704">
          <w:rPr>
            <w:rStyle w:val="Hyperlink"/>
            <w:i/>
            <w:iCs/>
          </w:rPr>
          <w:t xml:space="preserve"> </w:t>
        </w:r>
        <w:r w:rsidR="003B310D" w:rsidRPr="008A1704">
          <w:rPr>
            <w:rStyle w:val="Hyperlink"/>
          </w:rPr>
          <w:t xml:space="preserve">(co-authored with Lawrence Hill, Stephen Land, and Philip </w:t>
        </w:r>
        <w:proofErr w:type="spellStart"/>
        <w:r w:rsidR="003B310D" w:rsidRPr="008A1704">
          <w:rPr>
            <w:rStyle w:val="Hyperlink"/>
          </w:rPr>
          <w:t>Wagman</w:t>
        </w:r>
        <w:proofErr w:type="spellEnd"/>
        <w:r w:rsidR="003B310D" w:rsidRPr="008A1704">
          <w:rPr>
            <w:rStyle w:val="Hyperlink"/>
          </w:rPr>
          <w:t xml:space="preserve">) (quoted in U.S. v. Moore, 219 </w:t>
        </w:r>
        <w:proofErr w:type="spellStart"/>
        <w:r w:rsidR="003B310D" w:rsidRPr="008A1704">
          <w:rPr>
            <w:rStyle w:val="Hyperlink"/>
          </w:rPr>
          <w:t>L.Ed</w:t>
        </w:r>
        <w:proofErr w:type="spellEnd"/>
        <w:r w:rsidR="003B310D" w:rsidRPr="008A1704">
          <w:rPr>
            <w:rStyle w:val="Hyperlink"/>
          </w:rPr>
          <w:t>. 2d. 227, 296 (2024)).</w:t>
        </w:r>
      </w:hyperlink>
    </w:p>
    <w:p w14:paraId="6124C16A" w14:textId="77777777" w:rsidR="003B310D" w:rsidRDefault="003B310D" w:rsidP="003B310D">
      <w:pPr>
        <w:spacing w:after="3" w:line="248" w:lineRule="auto"/>
        <w:ind w:left="26" w:right="17"/>
        <w:rPr>
          <w:color w:val="000000" w:themeColor="text1"/>
        </w:rPr>
      </w:pPr>
    </w:p>
    <w:p w14:paraId="1040B7A1" w14:textId="77777777" w:rsidR="003B310D" w:rsidRDefault="003B310D" w:rsidP="003B310D">
      <w:pPr>
        <w:spacing w:after="3" w:line="248" w:lineRule="auto"/>
        <w:ind w:right="17"/>
      </w:pPr>
      <w:r w:rsidRPr="000C5F8F">
        <w:rPr>
          <w:i/>
          <w:iCs/>
        </w:rPr>
        <w:t>Report on the Transferability of Energy Tax Credits Under Section 6418</w:t>
      </w:r>
      <w:r>
        <w:rPr>
          <w:i/>
          <w:iCs/>
        </w:rPr>
        <w:t xml:space="preserve">, </w:t>
      </w:r>
      <w:r>
        <w:t xml:space="preserve">N.Y. State Bar </w:t>
      </w:r>
    </w:p>
    <w:p w14:paraId="4EA44D92" w14:textId="1DD149F2" w:rsidR="003B310D" w:rsidRPr="003B310D" w:rsidRDefault="003B310D" w:rsidP="003B310D">
      <w:pPr>
        <w:spacing w:after="3" w:line="248" w:lineRule="auto"/>
        <w:ind w:left="26" w:right="17"/>
        <w:rPr>
          <w:color w:val="000000" w:themeColor="text1"/>
        </w:rPr>
      </w:pPr>
      <w:proofErr w:type="spellStart"/>
      <w:r>
        <w:t>Ass’n</w:t>
      </w:r>
      <w:proofErr w:type="spellEnd"/>
      <w:r>
        <w:t xml:space="preserve"> Tax Section Rep. #1475 (Mar. 28, 2023).</w:t>
      </w:r>
    </w:p>
    <w:p w14:paraId="41AE4134" w14:textId="77777777" w:rsidR="005137BC" w:rsidRDefault="005137BC" w:rsidP="001B0671">
      <w:pPr>
        <w:rPr>
          <w:rFonts w:asciiTheme="majorBidi" w:hAnsiTheme="majorBidi" w:cstheme="majorBidi"/>
          <w:i/>
        </w:rPr>
      </w:pPr>
    </w:p>
    <w:p w14:paraId="31F6D75E" w14:textId="0CA7CB87" w:rsidR="001B0671" w:rsidRDefault="008A1704" w:rsidP="001B0671">
      <w:pPr>
        <w:rPr>
          <w:rFonts w:asciiTheme="majorBidi" w:hAnsiTheme="majorBidi" w:cstheme="majorBidi"/>
        </w:rPr>
      </w:pPr>
      <w:hyperlink r:id="rId13" w:history="1">
        <w:r w:rsidR="001B0671" w:rsidRPr="008A1704">
          <w:rPr>
            <w:rStyle w:val="Hyperlink"/>
            <w:rFonts w:asciiTheme="majorBidi" w:hAnsiTheme="majorBidi" w:cstheme="majorBidi"/>
            <w:i/>
          </w:rPr>
          <w:t xml:space="preserve">RBG: Nonprofit Entrepreneur, </w:t>
        </w:r>
        <w:r w:rsidR="001B0671" w:rsidRPr="008A1704">
          <w:rPr>
            <w:rStyle w:val="Hyperlink"/>
            <w:rFonts w:asciiTheme="majorBidi" w:hAnsiTheme="majorBidi" w:cstheme="majorBidi"/>
            <w:iCs/>
          </w:rPr>
          <w:t xml:space="preserve">Colum. L. Rev. </w:t>
        </w:r>
        <w:r w:rsidR="001B0671" w:rsidRPr="008A1704">
          <w:rPr>
            <w:rStyle w:val="Hyperlink"/>
            <w:rFonts w:asciiTheme="majorBidi" w:hAnsiTheme="majorBidi" w:cstheme="majorBidi"/>
            <w:shd w:val="clear" w:color="auto" w:fill="FFFFFF"/>
          </w:rPr>
          <w:t>121 </w:t>
        </w:r>
        <w:r w:rsidR="001B0671" w:rsidRPr="008A1704">
          <w:rPr>
            <w:rStyle w:val="Hyperlink"/>
            <w:rFonts w:asciiTheme="majorBidi" w:hAnsiTheme="majorBidi" w:cstheme="majorBidi"/>
            <w:smallCaps/>
            <w:bdr w:val="none" w:sz="0" w:space="0" w:color="auto" w:frame="1"/>
            <w:shd w:val="clear" w:color="auto" w:fill="FFFFFF"/>
          </w:rPr>
          <w:t>Colum. L. Rev. </w:t>
        </w:r>
        <w:r w:rsidR="001B0671" w:rsidRPr="008A1704">
          <w:rPr>
            <w:rStyle w:val="Hyperlink"/>
            <w:rFonts w:asciiTheme="majorBidi" w:hAnsiTheme="majorBidi" w:cstheme="majorBidi"/>
            <w:shd w:val="clear" w:color="auto" w:fill="FFFFFF"/>
          </w:rPr>
          <w:t>633 (2021).</w:t>
        </w:r>
      </w:hyperlink>
    </w:p>
    <w:p w14:paraId="06C2535F" w14:textId="77777777" w:rsidR="001B0671" w:rsidRPr="001B0671" w:rsidRDefault="001B0671" w:rsidP="001B0671">
      <w:pPr>
        <w:rPr>
          <w:rFonts w:asciiTheme="majorBidi" w:hAnsiTheme="majorBidi" w:cstheme="majorBidi"/>
        </w:rPr>
      </w:pPr>
    </w:p>
    <w:p w14:paraId="1EDA46EE" w14:textId="3B4F7476" w:rsidR="00814192" w:rsidRPr="001B0671" w:rsidRDefault="008A1704">
      <w:pPr>
        <w:spacing w:after="272" w:line="248" w:lineRule="auto"/>
        <w:ind w:left="26" w:right="17"/>
        <w:rPr>
          <w:iCs/>
        </w:rPr>
      </w:pPr>
      <w:hyperlink r:id="rId14" w:history="1">
        <w:r w:rsidR="001B0671" w:rsidRPr="008A1704">
          <w:rPr>
            <w:rStyle w:val="Hyperlink"/>
            <w:i/>
          </w:rPr>
          <w:t xml:space="preserve">Enhancing Efficiency at Nonprofits </w:t>
        </w:r>
        <w:proofErr w:type="gramStart"/>
        <w:r w:rsidR="001B0671" w:rsidRPr="008A1704">
          <w:rPr>
            <w:rStyle w:val="Hyperlink"/>
            <w:i/>
          </w:rPr>
          <w:t>With</w:t>
        </w:r>
        <w:proofErr w:type="gramEnd"/>
        <w:r w:rsidR="001B0671" w:rsidRPr="008A1704">
          <w:rPr>
            <w:rStyle w:val="Hyperlink"/>
            <w:i/>
          </w:rPr>
          <w:t xml:space="preserve"> Analysis and Disclosure,</w:t>
        </w:r>
        <w:r w:rsidR="001B0671" w:rsidRPr="008A1704">
          <w:rPr>
            <w:rStyle w:val="Hyperlink"/>
            <w:iCs/>
          </w:rPr>
          <w:t xml:space="preserve"> 11 </w:t>
        </w:r>
        <w:r w:rsidR="001B0671" w:rsidRPr="008A1704">
          <w:rPr>
            <w:rStyle w:val="Hyperlink"/>
            <w:rFonts w:asciiTheme="majorBidi" w:hAnsiTheme="majorBidi" w:cstheme="majorBidi"/>
            <w:smallCaps/>
            <w:bdr w:val="none" w:sz="0" w:space="0" w:color="auto" w:frame="1"/>
            <w:shd w:val="clear" w:color="auto" w:fill="FFFFFF"/>
          </w:rPr>
          <w:t>Colum. J. Tax L.</w:t>
        </w:r>
        <w:r w:rsidR="001B0671" w:rsidRPr="008A1704">
          <w:rPr>
            <w:rStyle w:val="Hyperlink"/>
            <w:iCs/>
          </w:rPr>
          <w:t xml:space="preserve"> 76 (2020).</w:t>
        </w:r>
      </w:hyperlink>
    </w:p>
    <w:p w14:paraId="244444A3" w14:textId="24867D04" w:rsidR="00EA6F89" w:rsidRDefault="008A1704">
      <w:pPr>
        <w:spacing w:after="272" w:line="248" w:lineRule="auto"/>
        <w:ind w:left="26" w:right="17"/>
      </w:pPr>
      <w:hyperlink r:id="rId15" w:history="1">
        <w:r w:rsidR="00C25B05" w:rsidRPr="008A1704">
          <w:rPr>
            <w:rStyle w:val="Hyperlink"/>
            <w:i/>
          </w:rPr>
          <w:t>Charitable Subsidies and Nonprofit Governance: Comparing the Charitable Deduction with the Exemption for Endowment Income</w:t>
        </w:r>
        <w:r w:rsidR="00C25B05" w:rsidRPr="008A1704">
          <w:rPr>
            <w:rStyle w:val="Hyperlink"/>
          </w:rPr>
          <w:t>, 71 Tax L. Rev. 201 (2019).</w:t>
        </w:r>
      </w:hyperlink>
      <w:r w:rsidR="00C25B05">
        <w:rPr>
          <w:i/>
        </w:rPr>
        <w:t xml:space="preserve"> </w:t>
      </w:r>
    </w:p>
    <w:p w14:paraId="6A09E3AD" w14:textId="083C0565" w:rsidR="00EA6F89" w:rsidRDefault="008A1704">
      <w:pPr>
        <w:spacing w:after="3" w:line="248" w:lineRule="auto"/>
        <w:ind w:left="26" w:right="17"/>
      </w:pPr>
      <w:hyperlink r:id="rId16" w:history="1">
        <w:r w:rsidR="00C25B05" w:rsidRPr="008A1704">
          <w:rPr>
            <w:rStyle w:val="Hyperlink"/>
            <w:i/>
          </w:rPr>
          <w:t xml:space="preserve">Energy Subsidies: Worthy Goals, Competing Priorities, and Flawed Institutional Design, </w:t>
        </w:r>
        <w:r w:rsidR="00C25B05" w:rsidRPr="008A1704">
          <w:rPr>
            <w:rStyle w:val="Hyperlink"/>
          </w:rPr>
          <w:t>70 Tax L. Rev. 243 (2017).</w:t>
        </w:r>
      </w:hyperlink>
      <w:r w:rsidR="00C25B05">
        <w:t xml:space="preserve"> </w:t>
      </w:r>
    </w:p>
    <w:p w14:paraId="5672978F" w14:textId="77777777" w:rsidR="00BD4D7C" w:rsidRDefault="00BD4D7C">
      <w:pPr>
        <w:spacing w:after="3" w:line="248" w:lineRule="auto"/>
        <w:ind w:left="26" w:right="17"/>
      </w:pPr>
    </w:p>
    <w:p w14:paraId="126B9A84" w14:textId="01A181B9" w:rsidR="00BD4D7C" w:rsidRPr="00BD4D7C" w:rsidRDefault="00BD4D7C" w:rsidP="00BD4D7C">
      <w:pPr>
        <w:rPr>
          <w:rFonts w:asciiTheme="majorBidi" w:hAnsiTheme="majorBidi" w:cstheme="majorBidi"/>
          <w:color w:val="000000"/>
        </w:rPr>
      </w:pPr>
      <w:hyperlink r:id="rId17" w:history="1">
        <w:r w:rsidRPr="00BD4D7C">
          <w:rPr>
            <w:rStyle w:val="Hyperlink"/>
            <w:rFonts w:asciiTheme="majorBidi" w:hAnsiTheme="majorBidi" w:cstheme="majorBidi"/>
            <w:i/>
            <w:iCs/>
            <w:color w:val="23578C"/>
          </w:rPr>
          <w:t>Border Adjustments and the Conservation of Tax Planning</w:t>
        </w:r>
      </w:hyperlink>
      <w:r w:rsidRPr="00BD4D7C">
        <w:rPr>
          <w:rFonts w:asciiTheme="majorBidi" w:hAnsiTheme="majorBidi" w:cstheme="majorBidi"/>
          <w:i/>
          <w:iCs/>
          <w:color w:val="000000"/>
        </w:rPr>
        <w:t>,</w:t>
      </w:r>
      <w:r w:rsidRPr="00BD4D7C">
        <w:rPr>
          <w:rFonts w:asciiTheme="majorBidi" w:hAnsiTheme="majorBidi" w:cstheme="majorBidi"/>
          <w:color w:val="000000"/>
        </w:rPr>
        <w:t> </w:t>
      </w:r>
      <w:r>
        <w:rPr>
          <w:rFonts w:asciiTheme="majorBidi" w:hAnsiTheme="majorBidi" w:cstheme="majorBidi"/>
          <w:color w:val="000000"/>
        </w:rPr>
        <w:t xml:space="preserve">155 </w:t>
      </w:r>
      <w:r w:rsidRPr="00BD4D7C">
        <w:rPr>
          <w:rStyle w:val="Emphasis"/>
          <w:rFonts w:asciiTheme="majorBidi" w:hAnsiTheme="majorBidi" w:cstheme="majorBidi"/>
          <w:i w:val="0"/>
          <w:iCs w:val="0"/>
          <w:color w:val="000000"/>
        </w:rPr>
        <w:t xml:space="preserve">Tax </w:t>
      </w:r>
      <w:proofErr w:type="gramStart"/>
      <w:r w:rsidRPr="00BD4D7C">
        <w:rPr>
          <w:rStyle w:val="Emphasis"/>
          <w:rFonts w:asciiTheme="majorBidi" w:hAnsiTheme="majorBidi" w:cstheme="majorBidi"/>
          <w:i w:val="0"/>
          <w:iCs w:val="0"/>
          <w:color w:val="000000"/>
        </w:rPr>
        <w:t>Notes</w:t>
      </w:r>
      <w:r w:rsidRPr="00BD4D7C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 1451</w:t>
      </w:r>
      <w:proofErr w:type="gramEnd"/>
      <w:r>
        <w:rPr>
          <w:rFonts w:asciiTheme="majorBidi" w:hAnsiTheme="majorBidi" w:cstheme="majorBidi"/>
          <w:color w:val="000000"/>
        </w:rPr>
        <w:t xml:space="preserve"> </w:t>
      </w:r>
      <w:r w:rsidRPr="00BD4D7C">
        <w:rPr>
          <w:rFonts w:asciiTheme="majorBidi" w:hAnsiTheme="majorBidi" w:cstheme="majorBidi"/>
          <w:color w:val="000000"/>
        </w:rPr>
        <w:t>(2017).</w:t>
      </w:r>
    </w:p>
    <w:p w14:paraId="1870421C" w14:textId="2F8DA989" w:rsidR="00EA6F89" w:rsidRDefault="00EA6F89" w:rsidP="00BD4D7C">
      <w:pPr>
        <w:spacing w:line="259" w:lineRule="auto"/>
      </w:pPr>
    </w:p>
    <w:p w14:paraId="25A4F2FB" w14:textId="2E87FEBB" w:rsidR="00EA6F89" w:rsidRDefault="008A1704">
      <w:pPr>
        <w:spacing w:after="3" w:line="248" w:lineRule="auto"/>
        <w:ind w:left="26" w:right="17"/>
      </w:pPr>
      <w:hyperlink r:id="rId18" w:history="1">
        <w:r w:rsidR="00C25B05" w:rsidRPr="008A1704">
          <w:rPr>
            <w:rStyle w:val="Hyperlink"/>
            <w:i/>
          </w:rPr>
          <w:t xml:space="preserve">Between Scylla and Charybdis: Taxing Corporations, Shareholders, or Both, </w:t>
        </w:r>
        <w:r w:rsidR="00C25B05" w:rsidRPr="008A1704">
          <w:rPr>
            <w:rStyle w:val="Hyperlink"/>
          </w:rPr>
          <w:t>117 Colum. L. Rev. 1849 (2016).</w:t>
        </w:r>
      </w:hyperlink>
      <w:r w:rsidR="00C25B05">
        <w:t xml:space="preserve"> </w:t>
      </w:r>
    </w:p>
    <w:p w14:paraId="5EDBFB8A" w14:textId="77777777" w:rsidR="00BD4D7C" w:rsidRDefault="00BD4D7C">
      <w:pPr>
        <w:spacing w:after="3" w:line="248" w:lineRule="auto"/>
        <w:ind w:left="26" w:right="17"/>
      </w:pPr>
    </w:p>
    <w:p w14:paraId="185D2109" w14:textId="0A8DDC82" w:rsidR="00BD4D7C" w:rsidRPr="00BD4D7C" w:rsidRDefault="006317F9" w:rsidP="00BD4D7C">
      <w:pPr>
        <w:ind w:left="41" w:hanging="10"/>
        <w:rPr>
          <w:rFonts w:asciiTheme="majorBidi" w:hAnsiTheme="majorBidi" w:cstheme="majorBidi"/>
        </w:rPr>
      </w:pPr>
      <w:hyperlink r:id="rId19" w:history="1">
        <w:r w:rsidR="00BD4D7C" w:rsidRPr="00BD4D7C">
          <w:rPr>
            <w:rFonts w:asciiTheme="majorBidi" w:hAnsiTheme="majorBidi" w:cstheme="majorBidi"/>
            <w:i/>
            <w:iCs/>
            <w:color w:val="23578C"/>
            <w:u w:val="single"/>
          </w:rPr>
          <w:t>Report on Regulations Under Section 871(m)</w:t>
        </w:r>
      </w:hyperlink>
      <w:r w:rsidR="00BD4D7C" w:rsidRPr="00BD4D7C">
        <w:rPr>
          <w:rFonts w:asciiTheme="majorBidi" w:hAnsiTheme="majorBidi" w:cstheme="majorBidi"/>
          <w:i/>
          <w:iCs/>
        </w:rPr>
        <w:t>,</w:t>
      </w:r>
      <w:r w:rsidR="00BD4D7C" w:rsidRPr="00BD4D7C">
        <w:rPr>
          <w:rFonts w:asciiTheme="majorBidi" w:hAnsiTheme="majorBidi" w:cstheme="majorBidi"/>
        </w:rPr>
        <w:t> </w:t>
      </w:r>
      <w:r w:rsidR="00BD4D7C" w:rsidRPr="00BD4D7C">
        <w:rPr>
          <w:rFonts w:asciiTheme="majorBidi" w:hAnsiTheme="majorBidi" w:cstheme="majorBidi"/>
          <w:i/>
          <w:iCs/>
        </w:rPr>
        <w:t>N.Y. State Bar Association Tax Section Report #1340</w:t>
      </w:r>
      <w:r w:rsidR="00BD4D7C">
        <w:rPr>
          <w:rFonts w:asciiTheme="majorBidi" w:hAnsiTheme="majorBidi" w:cstheme="majorBidi"/>
        </w:rPr>
        <w:t xml:space="preserve"> (</w:t>
      </w:r>
      <w:r w:rsidR="00BD4D7C" w:rsidRPr="00BD4D7C">
        <w:rPr>
          <w:rFonts w:asciiTheme="majorBidi" w:hAnsiTheme="majorBidi" w:cstheme="majorBidi"/>
        </w:rPr>
        <w:t>2016</w:t>
      </w:r>
      <w:r w:rsidR="00BD4D7C">
        <w:rPr>
          <w:rFonts w:asciiTheme="majorBidi" w:hAnsiTheme="majorBidi" w:cstheme="majorBidi"/>
        </w:rPr>
        <w:t>).</w:t>
      </w:r>
    </w:p>
    <w:p w14:paraId="440A539C" w14:textId="5C7B15D5" w:rsidR="00EA6F89" w:rsidRPr="008A1704" w:rsidRDefault="00C25B05">
      <w:pPr>
        <w:spacing w:line="259" w:lineRule="auto"/>
        <w:ind w:left="31"/>
        <w:rPr>
          <w:rStyle w:val="Hyperlink"/>
        </w:rPr>
      </w:pPr>
      <w:r>
        <w:t xml:space="preserve"> </w:t>
      </w:r>
      <w:r w:rsidR="008A1704">
        <w:rPr>
          <w:i/>
        </w:rPr>
        <w:fldChar w:fldCharType="begin"/>
      </w:r>
      <w:r w:rsidR="008A1704">
        <w:rPr>
          <w:i/>
        </w:rPr>
        <w:instrText xml:space="preserve"> HYPERLINK "https://columbialawreview.org/wp-content/uploads/2016/03/January-2016-10-In-Memoriam-Schizer.pdf" </w:instrText>
      </w:r>
      <w:r w:rsidR="008A1704">
        <w:rPr>
          <w:i/>
        </w:rPr>
      </w:r>
      <w:r w:rsidR="008A1704">
        <w:rPr>
          <w:i/>
        </w:rPr>
        <w:fldChar w:fldCharType="separate"/>
      </w:r>
    </w:p>
    <w:p w14:paraId="5B366C00" w14:textId="71B24D0A" w:rsidR="00EA6F89" w:rsidRDefault="00C25B05">
      <w:pPr>
        <w:spacing w:after="3" w:line="248" w:lineRule="auto"/>
        <w:ind w:left="26" w:right="17"/>
      </w:pPr>
      <w:r w:rsidRPr="008A1704">
        <w:rPr>
          <w:rStyle w:val="Hyperlink"/>
          <w:i/>
        </w:rPr>
        <w:t>Remembering Harvey Goldschmid</w:t>
      </w:r>
      <w:r w:rsidRPr="008A1704">
        <w:rPr>
          <w:rStyle w:val="Hyperlink"/>
        </w:rPr>
        <w:t>, 116 Colum. L. Rev. 11 (2016).</w:t>
      </w:r>
      <w:r w:rsidR="008A1704">
        <w:rPr>
          <w:i/>
        </w:rPr>
        <w:fldChar w:fldCharType="end"/>
      </w:r>
      <w:r>
        <w:t xml:space="preserve"> </w:t>
      </w:r>
    </w:p>
    <w:p w14:paraId="51DA1E28" w14:textId="77777777" w:rsidR="00EA6F89" w:rsidRDefault="00C25B05">
      <w:pPr>
        <w:spacing w:line="259" w:lineRule="auto"/>
        <w:ind w:left="31"/>
      </w:pPr>
      <w:r>
        <w:t xml:space="preserve"> </w:t>
      </w:r>
    </w:p>
    <w:p w14:paraId="37C3BC6C" w14:textId="77777777" w:rsidR="00EA6F89" w:rsidRDefault="00C25B05">
      <w:pPr>
        <w:spacing w:line="238" w:lineRule="auto"/>
        <w:ind w:left="31"/>
      </w:pPr>
      <w:r>
        <w:rPr>
          <w:i/>
          <w:color w:val="373739"/>
        </w:rPr>
        <w:t xml:space="preserve">Taxing Income From States That Sponsor Terrorism, </w:t>
      </w:r>
      <w:r>
        <w:rPr>
          <w:color w:val="373739"/>
        </w:rPr>
        <w:t xml:space="preserve">Tax Notes, Jan. 11, 2016, at 243 (based on testimony before Oversight Subcommittee of House Ways &amp; Means Committee, Nov. 4, 2015). </w:t>
      </w:r>
      <w:r>
        <w:rPr>
          <w:i/>
          <w:color w:val="373739"/>
        </w:rPr>
        <w:t xml:space="preserve"> </w:t>
      </w:r>
    </w:p>
    <w:p w14:paraId="777D1AA5" w14:textId="77777777" w:rsidR="009C0631" w:rsidRDefault="009C0631">
      <w:pPr>
        <w:ind w:left="26"/>
        <w:rPr>
          <w:i/>
        </w:rPr>
      </w:pPr>
    </w:p>
    <w:p w14:paraId="6B20578B" w14:textId="5050A013" w:rsidR="00EA6F89" w:rsidRPr="008A1704" w:rsidRDefault="008A1704">
      <w:pPr>
        <w:ind w:left="26"/>
        <w:rPr>
          <w:rStyle w:val="Hyperlink"/>
        </w:rPr>
      </w:pPr>
      <w:r>
        <w:rPr>
          <w:i/>
        </w:rPr>
        <w:fldChar w:fldCharType="begin"/>
      </w:r>
      <w:r>
        <w:rPr>
          <w:i/>
        </w:rPr>
        <w:instrText xml:space="preserve"> HYPERLINK "https://scholarship.law.columbia.edu/faculty_scholarship/1012/" </w:instrText>
      </w:r>
      <w:r>
        <w:rPr>
          <w:i/>
        </w:rPr>
      </w:r>
      <w:r>
        <w:rPr>
          <w:i/>
        </w:rPr>
        <w:fldChar w:fldCharType="separate"/>
      </w:r>
      <w:r w:rsidR="00C25B05" w:rsidRPr="008A1704">
        <w:rPr>
          <w:rStyle w:val="Hyperlink"/>
          <w:i/>
        </w:rPr>
        <w:t>Limiting Tax Expenditures</w:t>
      </w:r>
      <w:r w:rsidR="00C25B05" w:rsidRPr="008A1704">
        <w:rPr>
          <w:rStyle w:val="Hyperlink"/>
        </w:rPr>
        <w:t>, 68 Tax L. Re</w:t>
      </w:r>
      <w:r w:rsidR="00C25B05" w:rsidRPr="008A1704">
        <w:rPr>
          <w:rStyle w:val="Hyperlink"/>
        </w:rPr>
        <w:t>v</w:t>
      </w:r>
      <w:r w:rsidR="00C25B05" w:rsidRPr="008A1704">
        <w:rPr>
          <w:rStyle w:val="Hyperlink"/>
        </w:rPr>
        <w:t xml:space="preserve">. 275 (2015). </w:t>
      </w:r>
    </w:p>
    <w:p w14:paraId="52CB674E" w14:textId="7F0D35D4" w:rsidR="00EA6F89" w:rsidRDefault="008A1704">
      <w:pPr>
        <w:spacing w:line="259" w:lineRule="auto"/>
        <w:ind w:left="31"/>
      </w:pPr>
      <w:r>
        <w:rPr>
          <w:i/>
        </w:rPr>
        <w:fldChar w:fldCharType="end"/>
      </w:r>
      <w:r w:rsidR="00C25B05">
        <w:rPr>
          <w:i/>
        </w:rPr>
        <w:t xml:space="preserve"> </w:t>
      </w:r>
    </w:p>
    <w:p w14:paraId="60470642" w14:textId="3C99D59F" w:rsidR="00EA6F89" w:rsidRPr="008A1704" w:rsidRDefault="008A1704">
      <w:pPr>
        <w:spacing w:after="3" w:line="248" w:lineRule="auto"/>
        <w:ind w:left="26" w:right="17"/>
        <w:rPr>
          <w:rStyle w:val="Hyperlink"/>
        </w:rPr>
      </w:pPr>
      <w:r>
        <w:rPr>
          <w:i/>
        </w:rPr>
        <w:fldChar w:fldCharType="begin"/>
      </w:r>
      <w:r>
        <w:rPr>
          <w:i/>
        </w:rPr>
        <w:instrText xml:space="preserve"> HYPERLINK "https://scholarship.law.columbia.edu/faculty_scholarship/2301/" </w:instrText>
      </w:r>
      <w:r>
        <w:rPr>
          <w:i/>
        </w:rPr>
      </w:r>
      <w:r>
        <w:rPr>
          <w:i/>
        </w:rPr>
        <w:fldChar w:fldCharType="separate"/>
      </w:r>
      <w:r w:rsidR="00C25B05" w:rsidRPr="008A1704">
        <w:rPr>
          <w:rStyle w:val="Hyperlink"/>
          <w:i/>
        </w:rPr>
        <w:t>Tax and Governance:  The Effect of Tax on Managerial Agency Costs,</w:t>
      </w:r>
      <w:r w:rsidR="00C25B05" w:rsidRPr="008A1704">
        <w:rPr>
          <w:rStyle w:val="Hyperlink"/>
        </w:rPr>
        <w:t xml:space="preserve"> in Oxford Handbook on Corporate Law and Governance (2015).</w:t>
      </w:r>
      <w:r w:rsidR="00C25B05" w:rsidRPr="008A1704">
        <w:rPr>
          <w:rStyle w:val="Hyperlink"/>
          <w:i/>
        </w:rPr>
        <w:t xml:space="preserve"> </w:t>
      </w:r>
    </w:p>
    <w:p w14:paraId="1FC7F389" w14:textId="2E503318" w:rsidR="00EA6F89" w:rsidRDefault="008A1704">
      <w:pPr>
        <w:spacing w:line="259" w:lineRule="auto"/>
        <w:ind w:left="31"/>
      </w:pPr>
      <w:r>
        <w:rPr>
          <w:i/>
        </w:rPr>
        <w:lastRenderedPageBreak/>
        <w:fldChar w:fldCharType="end"/>
      </w:r>
      <w:r w:rsidR="00C25B05">
        <w:rPr>
          <w:i/>
        </w:rPr>
        <w:t xml:space="preserve"> </w:t>
      </w:r>
    </w:p>
    <w:p w14:paraId="54D69547" w14:textId="38475D21" w:rsidR="00EA6F89" w:rsidRDefault="008A1704">
      <w:pPr>
        <w:spacing w:after="3" w:line="248" w:lineRule="auto"/>
        <w:ind w:left="26" w:right="17"/>
      </w:pPr>
      <w:hyperlink r:id="rId20" w:history="1">
        <w:r w:rsidR="00C25B05" w:rsidRPr="008A1704">
          <w:rPr>
            <w:rStyle w:val="Hyperlink"/>
            <w:i/>
          </w:rPr>
          <w:t xml:space="preserve">The Shale Oil and Gas Revolution, Hydraulic Fracturing, and Water Contamination:  A Regulatory Strategy, </w:t>
        </w:r>
        <w:r w:rsidR="00C25B05" w:rsidRPr="008A1704">
          <w:rPr>
            <w:rStyle w:val="Hyperlink"/>
          </w:rPr>
          <w:t xml:space="preserve">98 Minn. L. Rev. 145 (2013) (with Thomas Merrill), </w:t>
        </w:r>
        <w:r w:rsidR="00C25B05" w:rsidRPr="008A1704">
          <w:rPr>
            <w:rStyle w:val="Hyperlink"/>
            <w:i/>
          </w:rPr>
          <w:t>reprinted</w:t>
        </w:r>
        <w:r w:rsidR="00C25B05" w:rsidRPr="008A1704">
          <w:rPr>
            <w:rStyle w:val="Hyperlink"/>
          </w:rPr>
          <w:t xml:space="preserve"> in Environmental Law and Policy Annual Review (2015).</w:t>
        </w:r>
      </w:hyperlink>
      <w:r w:rsidR="00C25B05">
        <w:t xml:space="preserve"> </w:t>
      </w:r>
    </w:p>
    <w:p w14:paraId="47299BB6" w14:textId="77777777" w:rsidR="00EA6F89" w:rsidRDefault="00C25B05">
      <w:pPr>
        <w:spacing w:line="259" w:lineRule="auto"/>
        <w:ind w:left="31"/>
      </w:pPr>
      <w:r>
        <w:t xml:space="preserve"> </w:t>
      </w:r>
    </w:p>
    <w:p w14:paraId="22476392" w14:textId="5D0ABE62" w:rsidR="00EA6F89" w:rsidRDefault="008A1704">
      <w:pPr>
        <w:spacing w:after="3" w:line="248" w:lineRule="auto"/>
        <w:ind w:left="26" w:right="17"/>
      </w:pPr>
      <w:hyperlink r:id="rId21" w:history="1">
        <w:r w:rsidR="00C25B05" w:rsidRPr="008A1704">
          <w:rPr>
            <w:rStyle w:val="Hyperlink"/>
            <w:i/>
          </w:rPr>
          <w:t>I Like to Pay Taxes: Taxpayer Support for Government Spending and the Efficiency of the Tax System</w:t>
        </w:r>
        <w:r w:rsidR="00C25B05" w:rsidRPr="008A1704">
          <w:rPr>
            <w:rStyle w:val="Hyperlink"/>
          </w:rPr>
          <w:t xml:space="preserve">, 66 Tax L. Rev. 179 (2013) (with Yair </w:t>
        </w:r>
        <w:proofErr w:type="spellStart"/>
        <w:r w:rsidR="00C25B05" w:rsidRPr="008A1704">
          <w:rPr>
            <w:rStyle w:val="Hyperlink"/>
          </w:rPr>
          <w:t>Listokin</w:t>
        </w:r>
        <w:proofErr w:type="spellEnd"/>
        <w:r w:rsidR="00C25B05" w:rsidRPr="008A1704">
          <w:rPr>
            <w:rStyle w:val="Hyperlink"/>
          </w:rPr>
          <w:t>).</w:t>
        </w:r>
      </w:hyperlink>
      <w:r w:rsidR="00C25B05">
        <w:t xml:space="preserve"> </w:t>
      </w:r>
    </w:p>
    <w:p w14:paraId="27C39256" w14:textId="418A6FBD" w:rsidR="00EA6F89" w:rsidRPr="008A1704" w:rsidRDefault="00C25B05">
      <w:pPr>
        <w:spacing w:line="259" w:lineRule="auto"/>
        <w:ind w:left="31"/>
        <w:rPr>
          <w:rStyle w:val="Hyperlink"/>
        </w:rPr>
      </w:pPr>
      <w:r>
        <w:t xml:space="preserve"> </w:t>
      </w:r>
      <w:r w:rsidR="008A1704">
        <w:rPr>
          <w:i/>
        </w:rPr>
        <w:fldChar w:fldCharType="begin"/>
      </w:r>
      <w:r w:rsidR="008A1704">
        <w:rPr>
          <w:i/>
        </w:rPr>
        <w:instrText xml:space="preserve"> HYPERLINK "https://scholarship.law.columbia.edu/faculty_scholarship/1113/" </w:instrText>
      </w:r>
      <w:r w:rsidR="008A1704">
        <w:rPr>
          <w:i/>
        </w:rPr>
      </w:r>
      <w:r w:rsidR="008A1704">
        <w:rPr>
          <w:i/>
        </w:rPr>
        <w:fldChar w:fldCharType="separate"/>
      </w:r>
    </w:p>
    <w:p w14:paraId="14D1ACDC" w14:textId="3493F85B" w:rsidR="00EA6F89" w:rsidRDefault="00C25B05">
      <w:pPr>
        <w:ind w:left="26"/>
      </w:pPr>
      <w:r w:rsidRPr="008A1704">
        <w:rPr>
          <w:rStyle w:val="Hyperlink"/>
          <w:i/>
        </w:rPr>
        <w:t>Fiscal Policy in an Era of Austerity</w:t>
      </w:r>
      <w:r w:rsidRPr="008A1704">
        <w:rPr>
          <w:rStyle w:val="Hyperlink"/>
        </w:rPr>
        <w:t>, 35 Harv. J. Law &amp; Pub. Policy 453 (2012).</w:t>
      </w:r>
      <w:r w:rsidR="008A1704">
        <w:rPr>
          <w:i/>
        </w:rPr>
        <w:fldChar w:fldCharType="end"/>
      </w:r>
      <w:r>
        <w:t xml:space="preserve"> </w:t>
      </w:r>
    </w:p>
    <w:p w14:paraId="4AE12F91" w14:textId="77777777" w:rsidR="00EA6F89" w:rsidRDefault="00C25B05">
      <w:pPr>
        <w:spacing w:line="259" w:lineRule="auto"/>
        <w:ind w:left="31"/>
      </w:pPr>
      <w:r>
        <w:t xml:space="preserve"> </w:t>
      </w:r>
    </w:p>
    <w:p w14:paraId="3BEA97A1" w14:textId="79D841C0" w:rsidR="00EA6F89" w:rsidRDefault="008A1704">
      <w:pPr>
        <w:ind w:left="26"/>
      </w:pPr>
      <w:hyperlink r:id="rId22" w:history="1">
        <w:r w:rsidR="00C25B05" w:rsidRPr="008A1704">
          <w:rPr>
            <w:rStyle w:val="Hyperlink"/>
            <w:i/>
          </w:rPr>
          <w:t>Subsidizing the Press</w:t>
        </w:r>
        <w:r w:rsidR="00C25B05" w:rsidRPr="008A1704">
          <w:rPr>
            <w:rStyle w:val="Hyperlink"/>
          </w:rPr>
          <w:t>, 3 J. Legal. Anal. 1 (2011).</w:t>
        </w:r>
      </w:hyperlink>
      <w:r w:rsidR="00C25B05">
        <w:t xml:space="preserve"> </w:t>
      </w:r>
    </w:p>
    <w:p w14:paraId="31C7E00B" w14:textId="77777777" w:rsidR="00EA6F89" w:rsidRDefault="00C25B05">
      <w:pPr>
        <w:spacing w:line="259" w:lineRule="auto"/>
        <w:ind w:left="31"/>
      </w:pPr>
      <w:r>
        <w:t xml:space="preserve"> </w:t>
      </w:r>
    </w:p>
    <w:p w14:paraId="5BEAD6B1" w14:textId="1A0C2A4D" w:rsidR="00EA6F89" w:rsidRDefault="008A1704">
      <w:pPr>
        <w:spacing w:after="3" w:line="248" w:lineRule="auto"/>
        <w:ind w:left="26" w:right="17"/>
      </w:pPr>
      <w:hyperlink r:id="rId23" w:history="1">
        <w:r w:rsidR="00C25B05" w:rsidRPr="008A1704">
          <w:rPr>
            <w:rStyle w:val="Hyperlink"/>
            <w:i/>
          </w:rPr>
          <w:t xml:space="preserve">A Proposed Petroleum Fuel Price Stabilization Plan, </w:t>
        </w:r>
        <w:r w:rsidR="00C25B05" w:rsidRPr="008A1704">
          <w:rPr>
            <w:rStyle w:val="Hyperlink"/>
          </w:rPr>
          <w:t>27 Yale J. Reg. 1 (2010) (with Thomas Merrill).</w:t>
        </w:r>
      </w:hyperlink>
      <w:r w:rsidR="00C25B05">
        <w:t xml:space="preserve"> </w:t>
      </w:r>
    </w:p>
    <w:p w14:paraId="5B3B3631" w14:textId="77777777" w:rsidR="00EA6F89" w:rsidRDefault="00C25B05">
      <w:pPr>
        <w:spacing w:line="259" w:lineRule="auto"/>
        <w:ind w:left="31"/>
      </w:pPr>
      <w:r>
        <w:t xml:space="preserve"> </w:t>
      </w:r>
    </w:p>
    <w:p w14:paraId="099AD33D" w14:textId="77777777" w:rsidR="00EA6F89" w:rsidRDefault="00C25B05">
      <w:pPr>
        <w:ind w:left="26"/>
      </w:pPr>
      <w:r>
        <w:rPr>
          <w:i/>
        </w:rPr>
        <w:t>The Petroleum-Tax Giveback</w:t>
      </w:r>
      <w:r>
        <w:t xml:space="preserve">, 128 Commentary, 29 (October 2009) (with Thomas Merrill). </w:t>
      </w:r>
    </w:p>
    <w:p w14:paraId="13A6920C" w14:textId="07C78A3D" w:rsidR="00EA6F89" w:rsidRPr="00B8582E" w:rsidRDefault="00C25B05">
      <w:pPr>
        <w:spacing w:line="259" w:lineRule="auto"/>
        <w:ind w:left="31"/>
        <w:rPr>
          <w:rStyle w:val="Hyperlink"/>
        </w:rPr>
      </w:pPr>
      <w:r>
        <w:t xml:space="preserve"> </w:t>
      </w:r>
      <w:r w:rsidR="00B8582E">
        <w:rPr>
          <w:i/>
        </w:rPr>
        <w:fldChar w:fldCharType="begin"/>
      </w:r>
      <w:r w:rsidR="00B8582E">
        <w:rPr>
          <w:i/>
        </w:rPr>
        <w:instrText xml:space="preserve"> HYPERLINK "https://scholarship.law.columbia.edu/faculty_scholarship/1013/" </w:instrText>
      </w:r>
      <w:r w:rsidR="00B8582E">
        <w:rPr>
          <w:i/>
        </w:rPr>
      </w:r>
      <w:r w:rsidR="00B8582E">
        <w:rPr>
          <w:i/>
        </w:rPr>
        <w:fldChar w:fldCharType="separate"/>
      </w:r>
    </w:p>
    <w:p w14:paraId="783D8363" w14:textId="5520EE62" w:rsidR="00EA6F89" w:rsidRDefault="00C25B05">
      <w:pPr>
        <w:spacing w:after="3" w:line="248" w:lineRule="auto"/>
        <w:ind w:left="26" w:right="17"/>
      </w:pPr>
      <w:r w:rsidRPr="00B8582E">
        <w:rPr>
          <w:rStyle w:val="Hyperlink"/>
          <w:i/>
        </w:rPr>
        <w:t>Subsidizing Charitable Contributions:  Incentives, Information, and the Private Pursuit of Public Goals</w:t>
      </w:r>
      <w:r w:rsidRPr="00B8582E">
        <w:rPr>
          <w:rStyle w:val="Hyperlink"/>
        </w:rPr>
        <w:t>, 62 Tax L. Rev. 221 (2009).</w:t>
      </w:r>
      <w:r w:rsidR="00B8582E">
        <w:rPr>
          <w:i/>
        </w:rPr>
        <w:fldChar w:fldCharType="end"/>
      </w:r>
      <w:r>
        <w:t xml:space="preserve"> </w:t>
      </w:r>
    </w:p>
    <w:p w14:paraId="6AE67389" w14:textId="77777777" w:rsidR="00EA6F89" w:rsidRDefault="00C25B05">
      <w:pPr>
        <w:spacing w:line="259" w:lineRule="auto"/>
        <w:ind w:left="31"/>
      </w:pPr>
      <w:r>
        <w:t xml:space="preserve"> </w:t>
      </w:r>
    </w:p>
    <w:p w14:paraId="25EB314D" w14:textId="5699DAAA" w:rsidR="00EA6F89" w:rsidRDefault="00B8582E">
      <w:pPr>
        <w:ind w:left="26"/>
      </w:pPr>
      <w:hyperlink r:id="rId24" w:history="1">
        <w:r w:rsidR="00C25B05" w:rsidRPr="00B8582E">
          <w:rPr>
            <w:rStyle w:val="Hyperlink"/>
            <w:i/>
          </w:rPr>
          <w:t>Enlisting the Tax Bar</w:t>
        </w:r>
        <w:r w:rsidR="00C25B05" w:rsidRPr="00B8582E">
          <w:rPr>
            <w:rStyle w:val="Hyperlink"/>
          </w:rPr>
          <w:t>, 59 Tax L. Rev. 331 (2006).</w:t>
        </w:r>
      </w:hyperlink>
      <w:r w:rsidR="00C25B05">
        <w:t xml:space="preserve"> </w:t>
      </w:r>
    </w:p>
    <w:p w14:paraId="4ACF2B6B" w14:textId="77777777" w:rsidR="00EA6F89" w:rsidRDefault="00C25B05">
      <w:pPr>
        <w:spacing w:line="259" w:lineRule="auto"/>
        <w:ind w:left="1471"/>
      </w:pPr>
      <w:r>
        <w:rPr>
          <w:i/>
        </w:rPr>
        <w:t xml:space="preserve"> </w:t>
      </w:r>
    </w:p>
    <w:p w14:paraId="08C1768D" w14:textId="50F57205" w:rsidR="00EA6F89" w:rsidRDefault="005D401C">
      <w:pPr>
        <w:spacing w:after="3" w:line="248" w:lineRule="auto"/>
        <w:ind w:left="26" w:right="17"/>
      </w:pPr>
      <w:hyperlink r:id="rId25" w:history="1">
        <w:r w:rsidR="00C25B05" w:rsidRPr="005D401C">
          <w:rPr>
            <w:rStyle w:val="Hyperlink"/>
            <w:i/>
          </w:rPr>
          <w:t>Balance in the Taxation of Derivative Securities:  An Agenda for Reform</w:t>
        </w:r>
        <w:r w:rsidR="00C25B05" w:rsidRPr="005D401C">
          <w:rPr>
            <w:rStyle w:val="Hyperlink"/>
          </w:rPr>
          <w:t>, 104 Colum. L. Rev. 1886 (2004).</w:t>
        </w:r>
      </w:hyperlink>
      <w:r w:rsidR="00C25B05">
        <w:t xml:space="preserve"> </w:t>
      </w:r>
    </w:p>
    <w:p w14:paraId="00EDA810" w14:textId="77777777" w:rsidR="00EA6F89" w:rsidRDefault="00C25B05">
      <w:pPr>
        <w:spacing w:line="259" w:lineRule="auto"/>
        <w:ind w:left="31"/>
      </w:pPr>
      <w:r>
        <w:t xml:space="preserve"> </w:t>
      </w:r>
    </w:p>
    <w:p w14:paraId="38552110" w14:textId="1EFED5B0" w:rsidR="00EA6F89" w:rsidRPr="005D401C" w:rsidRDefault="005D401C">
      <w:pPr>
        <w:spacing w:after="3" w:line="248" w:lineRule="auto"/>
        <w:ind w:left="26" w:right="17"/>
        <w:rPr>
          <w:rStyle w:val="Hyperlink"/>
        </w:rPr>
      </w:pPr>
      <w:r>
        <w:rPr>
          <w:i/>
        </w:rPr>
        <w:fldChar w:fldCharType="begin"/>
      </w:r>
      <w:r>
        <w:rPr>
          <w:i/>
        </w:rPr>
        <w:instrText xml:space="preserve"> HYPERLINK "https://scholarship.law.columbia.edu/faculty_scholarship/2480/" </w:instrText>
      </w:r>
      <w:r>
        <w:rPr>
          <w:i/>
        </w:rPr>
      </w:r>
      <w:r>
        <w:rPr>
          <w:i/>
        </w:rPr>
        <w:fldChar w:fldCharType="separate"/>
      </w:r>
      <w:r w:rsidR="00C25B05" w:rsidRPr="005D401C">
        <w:rPr>
          <w:rStyle w:val="Hyperlink"/>
          <w:i/>
        </w:rPr>
        <w:t>Scrubbing the Wash Sale Rules</w:t>
      </w:r>
      <w:r w:rsidR="00C25B05" w:rsidRPr="005D401C">
        <w:rPr>
          <w:rStyle w:val="Hyperlink"/>
        </w:rPr>
        <w:t xml:space="preserve">, 82 Taxes 67 (March 2004). </w:t>
      </w:r>
    </w:p>
    <w:p w14:paraId="34E245F2" w14:textId="31588054" w:rsidR="00EA6F89" w:rsidRDefault="00C25B05">
      <w:pPr>
        <w:spacing w:line="259" w:lineRule="auto"/>
        <w:ind w:left="31"/>
      </w:pPr>
      <w:r w:rsidRPr="005D401C">
        <w:rPr>
          <w:rStyle w:val="Hyperlink"/>
        </w:rPr>
        <w:t xml:space="preserve"> </w:t>
      </w:r>
      <w:r w:rsidRPr="005D401C">
        <w:rPr>
          <w:rStyle w:val="Hyperlink"/>
        </w:rPr>
        <w:tab/>
      </w:r>
      <w:r w:rsidR="005D401C">
        <w:rPr>
          <w:i/>
        </w:rPr>
        <w:fldChar w:fldCharType="end"/>
      </w:r>
    </w:p>
    <w:p w14:paraId="67A21FC4" w14:textId="7E729464" w:rsidR="00EA6F89" w:rsidRDefault="005D401C">
      <w:pPr>
        <w:spacing w:after="3" w:line="248" w:lineRule="auto"/>
        <w:ind w:left="26" w:right="17"/>
      </w:pPr>
      <w:hyperlink r:id="rId26" w:history="1">
        <w:r w:rsidR="00C25B05" w:rsidRPr="005D401C">
          <w:rPr>
            <w:rStyle w:val="Hyperlink"/>
            <w:i/>
          </w:rPr>
          <w:t xml:space="preserve">Market Bubbles and Wasteful Avoidance:  Tax and Regulatory Constraints on Short Sales, </w:t>
        </w:r>
        <w:r w:rsidR="00C25B05" w:rsidRPr="005D401C">
          <w:rPr>
            <w:rStyle w:val="Hyperlink"/>
          </w:rPr>
          <w:t xml:space="preserve">57 Tax Law Review 233 (2004) (with Martin </w:t>
        </w:r>
        <w:proofErr w:type="spellStart"/>
        <w:r w:rsidR="00C25B05" w:rsidRPr="005D401C">
          <w:rPr>
            <w:rStyle w:val="Hyperlink"/>
          </w:rPr>
          <w:t>Shubik</w:t>
        </w:r>
        <w:proofErr w:type="spellEnd"/>
        <w:r w:rsidR="00C25B05" w:rsidRPr="005D401C">
          <w:rPr>
            <w:rStyle w:val="Hyperlink"/>
          </w:rPr>
          <w:t xml:space="preserve"> and Michael Powers).</w:t>
        </w:r>
      </w:hyperlink>
      <w:r w:rsidR="00C25B05">
        <w:t xml:space="preserve"> </w:t>
      </w:r>
    </w:p>
    <w:p w14:paraId="51A98DA6" w14:textId="77777777" w:rsidR="00EA6F89" w:rsidRDefault="00C25B05">
      <w:pPr>
        <w:spacing w:line="259" w:lineRule="auto"/>
        <w:ind w:left="31"/>
      </w:pPr>
      <w:r>
        <w:t xml:space="preserve"> </w:t>
      </w:r>
    </w:p>
    <w:p w14:paraId="70AC0546" w14:textId="4F3E1F68" w:rsidR="00EA6F89" w:rsidRDefault="005D401C">
      <w:pPr>
        <w:spacing w:after="3" w:line="248" w:lineRule="auto"/>
        <w:ind w:left="26" w:right="17"/>
      </w:pPr>
      <w:hyperlink r:id="rId27" w:history="1">
        <w:r w:rsidR="00C25B05" w:rsidRPr="005D401C">
          <w:rPr>
            <w:rStyle w:val="Hyperlink"/>
            <w:i/>
          </w:rPr>
          <w:t>Frictions and Tax-Motivated Hedging:  An Empirical Exploration of Publicly-Traded Exchangeable Securities</w:t>
        </w:r>
        <w:r w:rsidR="00C25B05" w:rsidRPr="005D401C">
          <w:rPr>
            <w:rStyle w:val="Hyperlink"/>
          </w:rPr>
          <w:t xml:space="preserve">, 56 </w:t>
        </w:r>
        <w:proofErr w:type="spellStart"/>
        <w:r w:rsidR="00C25B05" w:rsidRPr="005D401C">
          <w:rPr>
            <w:rStyle w:val="Hyperlink"/>
          </w:rPr>
          <w:t>Nat’l</w:t>
        </w:r>
        <w:proofErr w:type="spellEnd"/>
        <w:r w:rsidR="00C25B05" w:rsidRPr="005D401C">
          <w:rPr>
            <w:rStyle w:val="Hyperlink"/>
          </w:rPr>
          <w:t xml:space="preserve">. Tax J. 167 (2003) (with William Gentry). </w:t>
        </w:r>
      </w:hyperlink>
      <w:r w:rsidR="00C25B05">
        <w:rPr>
          <w:i/>
        </w:rPr>
        <w:t xml:space="preserve"> </w:t>
      </w:r>
    </w:p>
    <w:p w14:paraId="125344D2" w14:textId="77777777" w:rsidR="00EA6F89" w:rsidRDefault="00C25B05">
      <w:pPr>
        <w:spacing w:line="259" w:lineRule="auto"/>
        <w:ind w:left="31"/>
      </w:pPr>
      <w:r>
        <w:t xml:space="preserve"> </w:t>
      </w:r>
    </w:p>
    <w:p w14:paraId="1F83DF78" w14:textId="629B5A81" w:rsidR="00EA6F89" w:rsidRDefault="005D401C">
      <w:pPr>
        <w:ind w:left="26"/>
      </w:pPr>
      <w:hyperlink r:id="rId28" w:history="1">
        <w:r w:rsidR="00C25B05" w:rsidRPr="005D401C">
          <w:rPr>
            <w:rStyle w:val="Hyperlink"/>
            <w:i/>
          </w:rPr>
          <w:t>Understanding Venture Capital Structure:  A Tax Explanation for Convertible Preferred Securities</w:t>
        </w:r>
        <w:r w:rsidR="00C25B05" w:rsidRPr="005D401C">
          <w:rPr>
            <w:rStyle w:val="Hyperlink"/>
          </w:rPr>
          <w:t>, 116 Harv. L. Rev. 874 (2003) (with Ronald Gilson) (selected by the Corporate Practice Commentator as one of the ten best corporate and securities articles of 2003).</w:t>
        </w:r>
      </w:hyperlink>
      <w:r w:rsidR="00C25B05">
        <w:t xml:space="preserve"> </w:t>
      </w:r>
    </w:p>
    <w:p w14:paraId="2120B465" w14:textId="77777777" w:rsidR="00EA6F89" w:rsidRDefault="00C25B05">
      <w:pPr>
        <w:spacing w:line="259" w:lineRule="auto"/>
        <w:ind w:left="31"/>
      </w:pPr>
      <w:r>
        <w:t xml:space="preserve"> </w:t>
      </w:r>
    </w:p>
    <w:p w14:paraId="7EB54A33" w14:textId="142FEFBC" w:rsidR="00EA6F89" w:rsidRDefault="005D401C">
      <w:pPr>
        <w:spacing w:after="3" w:line="248" w:lineRule="auto"/>
        <w:ind w:left="26" w:right="17"/>
      </w:pPr>
      <w:hyperlink r:id="rId29" w:history="1">
        <w:r w:rsidR="00C25B05" w:rsidRPr="005D401C">
          <w:rPr>
            <w:rStyle w:val="Hyperlink"/>
            <w:i/>
          </w:rPr>
          <w:t>Reducing the Tax Cost of Indexed Options</w:t>
        </w:r>
        <w:r w:rsidR="00C25B05" w:rsidRPr="005D401C">
          <w:rPr>
            <w:rStyle w:val="Hyperlink"/>
          </w:rPr>
          <w:t>, 96 Tax Notes 1375 (September 2, 2002).</w:t>
        </w:r>
      </w:hyperlink>
      <w:r w:rsidR="00C25B05">
        <w:t xml:space="preserve"> </w:t>
      </w:r>
    </w:p>
    <w:p w14:paraId="0BEC799F" w14:textId="77777777" w:rsidR="00EA6F89" w:rsidRDefault="00C25B05">
      <w:pPr>
        <w:spacing w:line="259" w:lineRule="auto"/>
        <w:ind w:left="31"/>
      </w:pPr>
      <w:r>
        <w:t xml:space="preserve"> </w:t>
      </w:r>
    </w:p>
    <w:p w14:paraId="0A027C3E" w14:textId="1851E1E4" w:rsidR="00EA6F89" w:rsidRDefault="005D401C">
      <w:pPr>
        <w:ind w:left="26"/>
      </w:pPr>
      <w:hyperlink r:id="rId30" w:history="1">
        <w:r w:rsidR="00C25B05" w:rsidRPr="005D401C">
          <w:rPr>
            <w:rStyle w:val="Hyperlink"/>
            <w:i/>
          </w:rPr>
          <w:t>Frictions as a Constraint on Tax Planning,</w:t>
        </w:r>
        <w:r w:rsidR="00C25B05" w:rsidRPr="005D401C">
          <w:rPr>
            <w:rStyle w:val="Hyperlink"/>
          </w:rPr>
          <w:t xml:space="preserve"> 101 Colum. L. Rev.1312 (2001), reprinted in 53 The Monthly Digest of Tax Articles 21 &amp; 15 (Oct. &amp; Nov. 2002).</w:t>
        </w:r>
      </w:hyperlink>
      <w:r w:rsidR="00C25B05">
        <w:t xml:space="preserve"> </w:t>
      </w:r>
    </w:p>
    <w:p w14:paraId="68D64936" w14:textId="77777777" w:rsidR="003B310D" w:rsidRDefault="003B310D">
      <w:pPr>
        <w:ind w:left="26"/>
      </w:pPr>
    </w:p>
    <w:p w14:paraId="169693D0" w14:textId="43D02C59" w:rsidR="003B310D" w:rsidRDefault="005D401C" w:rsidP="003B310D">
      <w:pPr>
        <w:spacing w:after="3" w:line="248" w:lineRule="auto"/>
        <w:ind w:left="26" w:right="17"/>
      </w:pPr>
      <w:hyperlink r:id="rId31" w:history="1">
        <w:r w:rsidR="003B310D" w:rsidRPr="005D401C">
          <w:rPr>
            <w:rStyle w:val="Hyperlink"/>
            <w:i/>
          </w:rPr>
          <w:t xml:space="preserve">Report on the Taxation of Straight and Contingent Convertible Debt, </w:t>
        </w:r>
        <w:r w:rsidR="003B310D" w:rsidRPr="005D401C">
          <w:rPr>
            <w:rStyle w:val="Hyperlink"/>
          </w:rPr>
          <w:t>N.Y. State Bar</w:t>
        </w:r>
      </w:hyperlink>
      <w:r w:rsidR="003B310D">
        <w:t xml:space="preserve"> </w:t>
      </w:r>
    </w:p>
    <w:p w14:paraId="29B142D1" w14:textId="77777777" w:rsidR="003B310D" w:rsidRDefault="003B310D" w:rsidP="003B310D">
      <w:pPr>
        <w:ind w:left="26"/>
      </w:pPr>
      <w:proofErr w:type="spellStart"/>
      <w:r>
        <w:lastRenderedPageBreak/>
        <w:t>Ass’n</w:t>
      </w:r>
      <w:proofErr w:type="spellEnd"/>
      <w:r>
        <w:t xml:space="preserve"> Tax Section Rep. #1022 (Nov. 2002), reprinted in TNT, 226-19 (Nov. 22, 2002).  </w:t>
      </w:r>
    </w:p>
    <w:p w14:paraId="105D24DE" w14:textId="77777777" w:rsidR="003B310D" w:rsidRDefault="003B310D" w:rsidP="003B310D">
      <w:pPr>
        <w:spacing w:line="259" w:lineRule="auto"/>
        <w:ind w:left="31"/>
      </w:pPr>
      <w:r>
        <w:rPr>
          <w:i/>
        </w:rPr>
        <w:t xml:space="preserve"> </w:t>
      </w:r>
    </w:p>
    <w:p w14:paraId="605C236D" w14:textId="1D05824F" w:rsidR="003B310D" w:rsidRDefault="005D401C" w:rsidP="003B310D">
      <w:pPr>
        <w:ind w:left="26"/>
      </w:pPr>
      <w:hyperlink r:id="rId32" w:history="1">
        <w:r w:rsidR="003B310D" w:rsidRPr="005D401C">
          <w:rPr>
            <w:rStyle w:val="Hyperlink"/>
            <w:i/>
          </w:rPr>
          <w:t xml:space="preserve">Tax-Advantaged Hedge Fund Returns, </w:t>
        </w:r>
        <w:r w:rsidR="003B310D" w:rsidRPr="005D401C">
          <w:rPr>
            <w:rStyle w:val="Hyperlink"/>
          </w:rPr>
          <w:t>3</w:t>
        </w:r>
        <w:r w:rsidR="003B310D" w:rsidRPr="005D401C">
          <w:rPr>
            <w:rStyle w:val="Hyperlink"/>
            <w:i/>
          </w:rPr>
          <w:t xml:space="preserve"> J. </w:t>
        </w:r>
        <w:proofErr w:type="spellStart"/>
        <w:r w:rsidR="003B310D" w:rsidRPr="005D401C">
          <w:rPr>
            <w:rStyle w:val="Hyperlink"/>
          </w:rPr>
          <w:t>Tax’n</w:t>
        </w:r>
        <w:proofErr w:type="spellEnd"/>
        <w:r w:rsidR="003B310D" w:rsidRPr="005D401C">
          <w:rPr>
            <w:rStyle w:val="Hyperlink"/>
          </w:rPr>
          <w:t>. Fin. Products 19 (Spring 2002).</w:t>
        </w:r>
      </w:hyperlink>
      <w:r w:rsidR="003B310D">
        <w:t xml:space="preserve"> </w:t>
      </w:r>
    </w:p>
    <w:p w14:paraId="49C7F114" w14:textId="77777777" w:rsidR="003B310D" w:rsidRDefault="003B310D" w:rsidP="003B310D">
      <w:pPr>
        <w:spacing w:line="259" w:lineRule="auto"/>
        <w:ind w:left="31"/>
      </w:pPr>
      <w:r>
        <w:rPr>
          <w:i/>
        </w:rPr>
        <w:t xml:space="preserve"> </w:t>
      </w:r>
    </w:p>
    <w:p w14:paraId="0C222FF5" w14:textId="6E55A8B0" w:rsidR="003B310D" w:rsidRPr="005D401C" w:rsidRDefault="003B310D" w:rsidP="003B310D">
      <w:pPr>
        <w:ind w:left="26" w:hanging="10"/>
        <w:rPr>
          <w:rStyle w:val="Hyperlink"/>
        </w:rPr>
      </w:pPr>
      <w:r>
        <w:rPr>
          <w:i/>
        </w:rPr>
        <w:t xml:space="preserve"> </w:t>
      </w:r>
      <w:r w:rsidR="005D401C">
        <w:rPr>
          <w:i/>
        </w:rPr>
        <w:fldChar w:fldCharType="begin"/>
      </w:r>
      <w:r w:rsidR="005D401C">
        <w:rPr>
          <w:i/>
        </w:rPr>
        <w:instrText xml:space="preserve"> HYPERLINK "https://scholarship.law.columbia.edu/cgi/viewcontent.cgi?article=1184&amp;context=faculty_scholarship" </w:instrText>
      </w:r>
      <w:r w:rsidR="005D401C">
        <w:rPr>
          <w:i/>
        </w:rPr>
      </w:r>
      <w:r w:rsidR="005D401C">
        <w:rPr>
          <w:i/>
        </w:rPr>
        <w:fldChar w:fldCharType="separate"/>
      </w:r>
      <w:r w:rsidRPr="005D401C">
        <w:rPr>
          <w:rStyle w:val="Hyperlink"/>
          <w:i/>
        </w:rPr>
        <w:t>Constructive Sales:  When Frictions are Weak</w:t>
      </w:r>
      <w:r w:rsidRPr="005D401C">
        <w:rPr>
          <w:rStyle w:val="Hyperlink"/>
        </w:rPr>
        <w:t xml:space="preserve">, 15 Taxation of Financial Institutions 68 (March/April 2002). </w:t>
      </w:r>
    </w:p>
    <w:p w14:paraId="1C6501D6" w14:textId="0698CD7B" w:rsidR="00EA6F89" w:rsidRDefault="005D401C">
      <w:pPr>
        <w:spacing w:line="259" w:lineRule="auto"/>
        <w:ind w:left="31"/>
      </w:pPr>
      <w:r>
        <w:rPr>
          <w:i/>
        </w:rPr>
        <w:fldChar w:fldCharType="end"/>
      </w:r>
      <w:r w:rsidR="00C25B05">
        <w:t xml:space="preserve"> </w:t>
      </w:r>
    </w:p>
    <w:p w14:paraId="6A0421C4" w14:textId="366CB3AE" w:rsidR="00EA6F89" w:rsidRDefault="005D401C">
      <w:pPr>
        <w:spacing w:after="29"/>
        <w:ind w:left="26"/>
      </w:pPr>
      <w:hyperlink r:id="rId33" w:history="1">
        <w:r w:rsidR="00C25B05" w:rsidRPr="005D401C">
          <w:rPr>
            <w:rStyle w:val="Hyperlink"/>
            <w:i/>
          </w:rPr>
          <w:t>Tax Constraints on Indexed Options</w:t>
        </w:r>
        <w:r w:rsidR="00C25B05" w:rsidRPr="005D401C">
          <w:rPr>
            <w:rStyle w:val="Hyperlink"/>
          </w:rPr>
          <w:t xml:space="preserve">, 149 U. Pa. L. Rev. 1941 (2001), reprinted in 18 J. </w:t>
        </w:r>
        <w:proofErr w:type="spellStart"/>
        <w:r w:rsidR="00C25B05" w:rsidRPr="005D401C">
          <w:rPr>
            <w:rStyle w:val="Hyperlink"/>
          </w:rPr>
          <w:t>Tax’n</w:t>
        </w:r>
        <w:proofErr w:type="spellEnd"/>
        <w:r w:rsidR="00C25B05" w:rsidRPr="005D401C">
          <w:rPr>
            <w:rStyle w:val="Hyperlink"/>
          </w:rPr>
          <w:t xml:space="preserve"> Inv. 348 (2001).</w:t>
        </w:r>
      </w:hyperlink>
      <w:r w:rsidR="00C25B05">
        <w:t xml:space="preserve"> </w:t>
      </w:r>
    </w:p>
    <w:p w14:paraId="3B9050CB" w14:textId="77777777" w:rsidR="00EA6F89" w:rsidRDefault="00C25B05">
      <w:pPr>
        <w:spacing w:line="259" w:lineRule="auto"/>
        <w:ind w:left="31"/>
      </w:pPr>
      <w:r>
        <w:t xml:space="preserve"> </w:t>
      </w:r>
    </w:p>
    <w:p w14:paraId="2A784780" w14:textId="27DE4A85" w:rsidR="00EA6F89" w:rsidRDefault="005D401C">
      <w:pPr>
        <w:ind w:left="26"/>
      </w:pPr>
      <w:hyperlink r:id="rId34" w:history="1">
        <w:r w:rsidR="00C25B05" w:rsidRPr="005D401C">
          <w:rPr>
            <w:rStyle w:val="Hyperlink"/>
            <w:i/>
          </w:rPr>
          <w:t>Sticks and Snakes:  Derivatives and Curtailing Aggressive Tax Planning</w:t>
        </w:r>
        <w:r w:rsidR="00C25B05" w:rsidRPr="005D401C">
          <w:rPr>
            <w:rStyle w:val="Hyperlink"/>
          </w:rPr>
          <w:t>, 73 S. Cal. L. Rev. 1339 (2000), reprinted in 51 The Monthly Digest of Tax Articles 7 (April 2001).</w:t>
        </w:r>
      </w:hyperlink>
      <w:r w:rsidR="00C25B05">
        <w:t xml:space="preserve"> </w:t>
      </w:r>
    </w:p>
    <w:p w14:paraId="0948FF11" w14:textId="77777777" w:rsidR="003B310D" w:rsidRDefault="003B310D">
      <w:pPr>
        <w:ind w:left="26"/>
      </w:pPr>
    </w:p>
    <w:p w14:paraId="213B6240" w14:textId="619D11FB" w:rsidR="003B310D" w:rsidRDefault="00016E72" w:rsidP="003B310D">
      <w:pPr>
        <w:spacing w:after="3" w:line="248" w:lineRule="auto"/>
        <w:ind w:left="41" w:right="17" w:hanging="10"/>
      </w:pPr>
      <w:hyperlink r:id="rId35" w:history="1">
        <w:r w:rsidR="003B310D" w:rsidRPr="00016E72">
          <w:rPr>
            <w:rStyle w:val="Hyperlink"/>
            <w:i/>
          </w:rPr>
          <w:t>Timing and Character Rules for Prepaid Forwards and Options:  A Report of the New York State Bar Association Tax Section</w:t>
        </w:r>
        <w:r w:rsidR="003B310D" w:rsidRPr="00016E72">
          <w:rPr>
            <w:rStyle w:val="Hyperlink"/>
          </w:rPr>
          <w:t>, Tax Report #990 (March 2001), reprinted in 91 Tax Notes 815 (April 30, 2001).</w:t>
        </w:r>
      </w:hyperlink>
      <w:r w:rsidR="003B310D">
        <w:rPr>
          <w:i/>
        </w:rPr>
        <w:t xml:space="preserve"> </w:t>
      </w:r>
    </w:p>
    <w:p w14:paraId="635BC57A" w14:textId="18702D3B" w:rsidR="00EA6F89" w:rsidRDefault="00EA6F89" w:rsidP="003B310D">
      <w:pPr>
        <w:spacing w:line="259" w:lineRule="auto"/>
      </w:pPr>
    </w:p>
    <w:p w14:paraId="52B3BA34" w14:textId="561A69E2" w:rsidR="00EA6F89" w:rsidRDefault="00016E72">
      <w:pPr>
        <w:ind w:left="26"/>
      </w:pPr>
      <w:hyperlink r:id="rId36" w:history="1">
        <w:r w:rsidR="00C25B05" w:rsidRPr="00016E72">
          <w:rPr>
            <w:rStyle w:val="Hyperlink"/>
            <w:i/>
          </w:rPr>
          <w:t>Executives and Hedging:  The Fragile Legal Foundation of Incentive Compatibility</w:t>
        </w:r>
        <w:r w:rsidR="00C25B05" w:rsidRPr="00016E72">
          <w:rPr>
            <w:rStyle w:val="Hyperlink"/>
          </w:rPr>
          <w:t>, 100 Colum. L. Rev. 440 (2000) (selected by the Corporate Practice Commentator as one of the ten best corporate and securities articles of 2000).</w:t>
        </w:r>
      </w:hyperlink>
      <w:r w:rsidR="00C25B05">
        <w:t xml:space="preserve"> </w:t>
      </w:r>
    </w:p>
    <w:p w14:paraId="1692BC35" w14:textId="77777777" w:rsidR="003B310D" w:rsidRDefault="003B310D">
      <w:pPr>
        <w:ind w:left="26"/>
      </w:pPr>
    </w:p>
    <w:p w14:paraId="211ED39A" w14:textId="77777777" w:rsidR="003B310D" w:rsidRDefault="003B310D">
      <w:pPr>
        <w:ind w:left="26"/>
      </w:pPr>
      <w:r>
        <w:rPr>
          <w:i/>
        </w:rPr>
        <w:t>Debt Exchangeable for Common Stock:  Electivity and the Tax Treatment of Issuers and Holders</w:t>
      </w:r>
      <w:r>
        <w:t xml:space="preserve">, 1 Derivatives Report 7 (March 2000). </w:t>
      </w:r>
    </w:p>
    <w:p w14:paraId="77B7CA5C" w14:textId="77777777" w:rsidR="003B310D" w:rsidRDefault="003B310D">
      <w:pPr>
        <w:ind w:left="26"/>
        <w:rPr>
          <w:i/>
        </w:rPr>
      </w:pPr>
    </w:p>
    <w:p w14:paraId="60DB1B10" w14:textId="77777777" w:rsidR="003B310D" w:rsidRDefault="003B310D" w:rsidP="003B310D">
      <w:pPr>
        <w:spacing w:after="3" w:line="248" w:lineRule="auto"/>
        <w:ind w:left="26" w:right="17"/>
      </w:pPr>
      <w:r>
        <w:rPr>
          <w:i/>
        </w:rPr>
        <w:t>Comments on Constructive Ownership and H.R. 1703:  A Report of the New York State Bar Association Tax Section</w:t>
      </w:r>
      <w:r>
        <w:t>, published in Tax Notes Today 135-33 (July 15, 1999).</w:t>
      </w:r>
      <w:r>
        <w:rPr>
          <w:i/>
        </w:rPr>
        <w:t xml:space="preserve"> </w:t>
      </w:r>
    </w:p>
    <w:p w14:paraId="56CDC767" w14:textId="36A875B1" w:rsidR="003B310D" w:rsidRDefault="003B310D">
      <w:pPr>
        <w:ind w:left="26"/>
      </w:pPr>
      <w:r>
        <w:rPr>
          <w:i/>
        </w:rPr>
        <w:t xml:space="preserve">  </w:t>
      </w:r>
    </w:p>
    <w:p w14:paraId="53FB3169" w14:textId="738F002D" w:rsidR="00EA6F89" w:rsidRDefault="003B310D">
      <w:pPr>
        <w:spacing w:line="259" w:lineRule="auto"/>
        <w:ind w:left="31"/>
      </w:pPr>
      <w:r>
        <w:rPr>
          <w:i/>
        </w:rPr>
        <w:t>Hedging Under Section 1259</w:t>
      </w:r>
      <w:r>
        <w:t>, 80 Tax Notes 345 (July 20, 1998)</w:t>
      </w:r>
    </w:p>
    <w:p w14:paraId="2EAEEEA0" w14:textId="77777777" w:rsidR="003B310D" w:rsidRDefault="003B310D">
      <w:pPr>
        <w:spacing w:line="259" w:lineRule="auto"/>
        <w:ind w:left="31"/>
      </w:pPr>
    </w:p>
    <w:p w14:paraId="62B4D665" w14:textId="28DC986C" w:rsidR="00EA6F89" w:rsidRDefault="008A1704" w:rsidP="003B310D">
      <w:pPr>
        <w:ind w:left="26"/>
      </w:pPr>
      <w:hyperlink r:id="rId37" w:history="1">
        <w:r w:rsidR="00C25B05" w:rsidRPr="008A1704">
          <w:rPr>
            <w:rStyle w:val="Hyperlink"/>
            <w:i/>
          </w:rPr>
          <w:t>Realization as Subsidy</w:t>
        </w:r>
        <w:r w:rsidR="00C25B05" w:rsidRPr="008A1704">
          <w:rPr>
            <w:rStyle w:val="Hyperlink"/>
          </w:rPr>
          <w:t>, 73 N.Y.U. L. Rev. 1549 (1998).</w:t>
        </w:r>
      </w:hyperlink>
      <w:r w:rsidR="00C25B05">
        <w:t xml:space="preserve"> </w:t>
      </w:r>
    </w:p>
    <w:p w14:paraId="209BEA17" w14:textId="77777777" w:rsidR="003B310D" w:rsidRDefault="003B310D" w:rsidP="003B310D">
      <w:pPr>
        <w:ind w:left="26"/>
      </w:pPr>
    </w:p>
    <w:p w14:paraId="4E91C026" w14:textId="467C9EAA" w:rsidR="00EA6F89" w:rsidRDefault="00C25B05" w:rsidP="003B310D">
      <w:pPr>
        <w:spacing w:after="3" w:line="248" w:lineRule="auto"/>
        <w:ind w:left="16" w:right="17"/>
      </w:pPr>
      <w:r w:rsidRPr="008A1704">
        <w:rPr>
          <w:i/>
        </w:rPr>
        <w:t>Comments on H.R. 846 (“Short Against the Box” Legislation):  A Report of the New York State Bar Association Tax Section</w:t>
      </w:r>
      <w:r w:rsidRPr="008A1704">
        <w:t xml:space="preserve">, published in 97 Tax Notes 103-11 (with Samuel </w:t>
      </w:r>
      <w:proofErr w:type="spellStart"/>
      <w:r w:rsidRPr="008A1704">
        <w:t>Dimon</w:t>
      </w:r>
      <w:proofErr w:type="spellEnd"/>
      <w:r w:rsidRPr="008A1704">
        <w:t xml:space="preserve">). </w:t>
      </w:r>
      <w:r>
        <w:t xml:space="preserve"> </w:t>
      </w:r>
    </w:p>
    <w:sectPr w:rsidR="00EA6F89">
      <w:footerReference w:type="even" r:id="rId38"/>
      <w:footerReference w:type="default" r:id="rId39"/>
      <w:footerReference w:type="first" r:id="rId40"/>
      <w:pgSz w:w="12240" w:h="15840"/>
      <w:pgMar w:top="1443" w:right="1822" w:bottom="1614" w:left="1769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C232" w14:textId="77777777" w:rsidR="006317F9" w:rsidRDefault="006317F9">
      <w:r>
        <w:separator/>
      </w:r>
    </w:p>
  </w:endnote>
  <w:endnote w:type="continuationSeparator" w:id="0">
    <w:p w14:paraId="5225C6BF" w14:textId="77777777" w:rsidR="006317F9" w:rsidRDefault="0063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Web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10BD" w14:textId="77777777" w:rsidR="00EA6F89" w:rsidRDefault="00C25B05">
    <w:pPr>
      <w:spacing w:line="259" w:lineRule="auto"/>
      <w:ind w:lef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42F814" w14:textId="77777777" w:rsidR="00EA6F89" w:rsidRDefault="00C25B05">
    <w:pPr>
      <w:spacing w:line="259" w:lineRule="auto"/>
      <w:ind w:left="31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E5D4" w14:textId="77777777" w:rsidR="00EA6F89" w:rsidRDefault="00C25B05">
    <w:pPr>
      <w:spacing w:line="259" w:lineRule="auto"/>
      <w:ind w:lef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B66" w:rsidRPr="007F2B6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2A9AE23" w14:textId="77777777" w:rsidR="00EA6F89" w:rsidRDefault="00C25B05">
    <w:pPr>
      <w:spacing w:line="259" w:lineRule="auto"/>
      <w:ind w:left="31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4C07" w14:textId="77777777" w:rsidR="00EA6F89" w:rsidRDefault="00C25B05">
    <w:pPr>
      <w:spacing w:line="259" w:lineRule="auto"/>
      <w:ind w:lef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73D67A2" w14:textId="77777777" w:rsidR="00EA6F89" w:rsidRDefault="00C25B05">
    <w:pPr>
      <w:spacing w:line="259" w:lineRule="auto"/>
      <w:ind w:left="31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BA38" w14:textId="77777777" w:rsidR="006317F9" w:rsidRDefault="006317F9">
      <w:r>
        <w:separator/>
      </w:r>
    </w:p>
  </w:footnote>
  <w:footnote w:type="continuationSeparator" w:id="0">
    <w:p w14:paraId="78BF19DD" w14:textId="77777777" w:rsidR="006317F9" w:rsidRDefault="0063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5F99"/>
    <w:multiLevelType w:val="multilevel"/>
    <w:tmpl w:val="732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E2B1F"/>
    <w:multiLevelType w:val="multilevel"/>
    <w:tmpl w:val="DBB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89"/>
    <w:rsid w:val="00016E72"/>
    <w:rsid w:val="0003422E"/>
    <w:rsid w:val="0008670E"/>
    <w:rsid w:val="000B194F"/>
    <w:rsid w:val="000C5F8F"/>
    <w:rsid w:val="00121C99"/>
    <w:rsid w:val="001B0671"/>
    <w:rsid w:val="001B7A92"/>
    <w:rsid w:val="001C0595"/>
    <w:rsid w:val="001D11B3"/>
    <w:rsid w:val="00282B57"/>
    <w:rsid w:val="002C6CB0"/>
    <w:rsid w:val="00300598"/>
    <w:rsid w:val="00312E0C"/>
    <w:rsid w:val="003B310D"/>
    <w:rsid w:val="003C2C2D"/>
    <w:rsid w:val="004A681A"/>
    <w:rsid w:val="004C23AF"/>
    <w:rsid w:val="004C6FBE"/>
    <w:rsid w:val="004E3EFC"/>
    <w:rsid w:val="005137BC"/>
    <w:rsid w:val="00520F56"/>
    <w:rsid w:val="0053477C"/>
    <w:rsid w:val="005460C5"/>
    <w:rsid w:val="005D401C"/>
    <w:rsid w:val="00620769"/>
    <w:rsid w:val="006317F9"/>
    <w:rsid w:val="0063563D"/>
    <w:rsid w:val="006E4E0B"/>
    <w:rsid w:val="00713D01"/>
    <w:rsid w:val="007C0319"/>
    <w:rsid w:val="007F2B66"/>
    <w:rsid w:val="008021C4"/>
    <w:rsid w:val="00804272"/>
    <w:rsid w:val="0081388C"/>
    <w:rsid w:val="00814192"/>
    <w:rsid w:val="008A1704"/>
    <w:rsid w:val="008C3092"/>
    <w:rsid w:val="00946E70"/>
    <w:rsid w:val="009C0631"/>
    <w:rsid w:val="00A43B5C"/>
    <w:rsid w:val="00A751CD"/>
    <w:rsid w:val="00A81E0E"/>
    <w:rsid w:val="00A8577D"/>
    <w:rsid w:val="00AA2AF8"/>
    <w:rsid w:val="00B62CE6"/>
    <w:rsid w:val="00B724D8"/>
    <w:rsid w:val="00B826C2"/>
    <w:rsid w:val="00B8582E"/>
    <w:rsid w:val="00BD4D7C"/>
    <w:rsid w:val="00C2182D"/>
    <w:rsid w:val="00C25B05"/>
    <w:rsid w:val="00C9057F"/>
    <w:rsid w:val="00D35E3B"/>
    <w:rsid w:val="00D71FC9"/>
    <w:rsid w:val="00DA533C"/>
    <w:rsid w:val="00DE22BC"/>
    <w:rsid w:val="00DE4C39"/>
    <w:rsid w:val="00EA6F89"/>
    <w:rsid w:val="00ED4045"/>
    <w:rsid w:val="00F26485"/>
    <w:rsid w:val="00FD52B2"/>
    <w:rsid w:val="00F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D7F9"/>
  <w15:docId w15:val="{9C7BB653-0EDD-4055-B300-39A3BD8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1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mallcaps">
    <w:name w:val="smallcaps"/>
    <w:basedOn w:val="DefaultParagraphFont"/>
    <w:rsid w:val="001B0671"/>
  </w:style>
  <w:style w:type="character" w:styleId="Hyperlink">
    <w:name w:val="Hyperlink"/>
    <w:basedOn w:val="DefaultParagraphFont"/>
    <w:uiPriority w:val="99"/>
    <w:unhideWhenUsed/>
    <w:rsid w:val="00BD4D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4D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D4D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.law.columbia.edu/faculty_scholarship/2755/" TargetMode="External"/><Relationship Id="rId18" Type="http://schemas.openxmlformats.org/officeDocument/2006/relationships/hyperlink" Target="https://columbialawreview.org/content/between-scylla-and-charybdis-taxing-corporations-or-shareholders-or-both/" TargetMode="External"/><Relationship Id="rId26" Type="http://schemas.openxmlformats.org/officeDocument/2006/relationships/hyperlink" Target="https://scholarship.law.columbia.edu/faculty_scholarship/945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scholarship.law.columbia.edu/faculty_scholarship/946/" TargetMode="External"/><Relationship Id="rId34" Type="http://schemas.openxmlformats.org/officeDocument/2006/relationships/hyperlink" Target="https://scholarship.law.columbia.edu/faculty_scholarship/1016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mazon.com/How-Save-World-Easy-Steps/dp/B0C5YZXYK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.law.columbia.edu/faculty_scholarship/1011/" TargetMode="External"/><Relationship Id="rId20" Type="http://schemas.openxmlformats.org/officeDocument/2006/relationships/hyperlink" Target="https://scholarship.law.columbia.edu/faculty_scholarship/837/" TargetMode="External"/><Relationship Id="rId29" Type="http://schemas.openxmlformats.org/officeDocument/2006/relationships/hyperlink" Target="https://papers.ssrn.com/sol3/papers.cfm?abstract_id=32027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library.columbia.edu/index.php/taxlaw/article/view/12357" TargetMode="External"/><Relationship Id="rId24" Type="http://schemas.openxmlformats.org/officeDocument/2006/relationships/hyperlink" Target="https://scholarship.law.columbia.edu/faculty_scholarship/1015/" TargetMode="External"/><Relationship Id="rId32" Type="http://schemas.openxmlformats.org/officeDocument/2006/relationships/hyperlink" Target="https://heinonline.org/HOL/LandingPage?handle=hein.journals/jrlfin3&amp;div=18&amp;id=&amp;page=" TargetMode="External"/><Relationship Id="rId37" Type="http://schemas.openxmlformats.org/officeDocument/2006/relationships/hyperlink" Target="https://www.nyulawreview.org/wp-content/uploads/2018/08/NYULawReview-73-5-Schizer.pdf" TargetMode="Externa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law.columbia.edu/sites/default/files/2021-04/Charitable_Subsidies_and_Nonpr.pdf" TargetMode="External"/><Relationship Id="rId23" Type="http://schemas.openxmlformats.org/officeDocument/2006/relationships/hyperlink" Target="https://scholarship.law.columbia.edu/faculty_scholarship/3156/" TargetMode="External"/><Relationship Id="rId28" Type="http://schemas.openxmlformats.org/officeDocument/2006/relationships/hyperlink" Target="https://scholarship.law.columbia.edu/faculty_scholarship/902/" TargetMode="External"/><Relationship Id="rId36" Type="http://schemas.openxmlformats.org/officeDocument/2006/relationships/hyperlink" Target="https://scholarship.law.columbia.edu/cgi/viewcontent.cgi?article=1183&amp;context=faculty_scholarship" TargetMode="External"/><Relationship Id="rId10" Type="http://schemas.openxmlformats.org/officeDocument/2006/relationships/hyperlink" Target="https://scholarship.law.columbia.edu/cgi/viewcontent.cgi?article=5470&amp;context=faculty_scholarship" TargetMode="External"/><Relationship Id="rId19" Type="http://schemas.openxmlformats.org/officeDocument/2006/relationships/hyperlink" Target="https://nysba.org/NYSBA/Sections/Tax/Tax%20Section%20Reports/Tax%20Reports%202016/1340%20Report.pdf" TargetMode="External"/><Relationship Id="rId31" Type="http://schemas.openxmlformats.org/officeDocument/2006/relationships/hyperlink" Target="https://nysba.org/NYSBA/Sections/Tax/Tax%20Section%20Reports/Tax%20Reports%202002/1022%20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4867878" TargetMode="External"/><Relationship Id="rId14" Type="http://schemas.openxmlformats.org/officeDocument/2006/relationships/hyperlink" Target="https://scholarship.law.columbia.edu/faculty_scholarship/2675/" TargetMode="External"/><Relationship Id="rId22" Type="http://schemas.openxmlformats.org/officeDocument/2006/relationships/hyperlink" Target="https://watermark.silverchair.com/3-1-1.pdf?token=AQECAHi208BE49Ooan9kkhW_Ercy7Dm3ZL_9Cf3qfKAc485ysgAAA3IwggNuBgkqhkiG9w0BBwagggNfMIIDWwIBADCCA1QGCSqGSIb3DQEHATAeBglghkgBZQMEAS4wEQQMBWfB07eJiNa11mcnAgEQgIIDJccoICFCgbQyrXjXUfMtcYWOkrE3bHoyjh8pjthCw8_3ajxUXPKAhy4X3a9eEpi263HYiRHBHZtAwXjcF2rRl6sCJ38-pmDjYna1sNwquCZ2EJkT9Lv3Rwo89W2St55b_eY7PWOys_9VXa0b04dMx5P6ZLydfBNqoRFu3nD7WInY4bK6YLarfD7shzFWBakagnOVk0JBirt65fzbGk4Bp1oBFuo9mkDJzGjTGPL_r_pf7hfwFMvelvX3tChmEud7nhOIi6vqGMM-hTycjl8L9GiKjKKPuinvbF9G9JcS4Pi3-jd_0_Mkba8SOkYHAS9vbEli1m7bJPn9zJFoJY935pTdMDkfwD4bm1BAP0IqN1aD8My-ci1BJLsMuOn3bDRnIhlZcx-Cj6hmDj0jepkYh--N42c_Rkw_BWY6eOzEce7eoD80Whk3EOIrGPipk1m1rF-Krg2lSgD6h4brQsMSsuPT0ghRu8UWJ6jCru2e8gopd5qbeIpVybbWJFGwtNVhoVSg4sVyMdJyQJTqCn89rEygEFH1T2nWgBbFZKro64mfJ8-SY-kmYpHYwGnKA3NBdYO4TEu71s86QaCvl-wXHHPBT55HZ05kGs-doG3ui7hhayjA3iBXMtBEP7WxTfS7awFcBBFuT8PyL0rCknI2wwFLKc195gOcYk_Q1NuDqKBLuZF_UCW9B5IC229P-AlZSaVCD3AwszF9QUVvF_78fX0gXGMezRRbnMiXFk2RfP5iCQVxHpjdu165rvRmxD9ccZQ8QggiNqO0qghIbd82824Y1gv_P5hpCOklCKYLiglZcOaX2dNcwvxPQaNMJ_QHmqXgfqZhlNGya0N4aIdIPfo3QQC2HhpJF77TF9K2grRJtnaaVQsq54Zn1AP5fdG80LApplUGjfpVIJysGcEzDmxmWEg-rw7Q5eLwMQhwcvf03oBvV8kq10N8ah29llRrOAsxR9vER41OSTlKHVJpIK6wzZwSAJGNRS3VensjRYZtm2ynZDcWF6LnUhv6F_GeV5R8gvsqN_M87rSqIOJfqmyodWtd2arVtYTAuAaEnbbGpGsOrC4" TargetMode="External"/><Relationship Id="rId27" Type="http://schemas.openxmlformats.org/officeDocument/2006/relationships/hyperlink" Target="https://scholarship.law.columbia.edu/faculty_scholarship/2487/" TargetMode="External"/><Relationship Id="rId30" Type="http://schemas.openxmlformats.org/officeDocument/2006/relationships/hyperlink" Target="https://scholarship.law.columbia.edu/faculty_scholarship/181/" TargetMode="External"/><Relationship Id="rId35" Type="http://schemas.openxmlformats.org/officeDocument/2006/relationships/hyperlink" Target="https://nysba.org/NYSBA/Sections/Tax/Tax%20Section%20Reports/Tax%20Reports%202001/990%20Report.pdf" TargetMode="External"/><Relationship Id="rId8" Type="http://schemas.openxmlformats.org/officeDocument/2006/relationships/hyperlink" Target="https://pro.bloombergtax.com/portfolios/financial-instruments-special-rules-portfolio-18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.law.columbia.edu/faculty_scholarship/4177/" TargetMode="External"/><Relationship Id="rId17" Type="http://schemas.openxmlformats.org/officeDocument/2006/relationships/hyperlink" Target="https://papers.ssrn.com/sol3/papers.cfm?abstract_id=3001108" TargetMode="External"/><Relationship Id="rId25" Type="http://schemas.openxmlformats.org/officeDocument/2006/relationships/hyperlink" Target="https://scholarship.law.columbia.edu/faculty_scholarship/182/" TargetMode="External"/><Relationship Id="rId33" Type="http://schemas.openxmlformats.org/officeDocument/2006/relationships/hyperlink" Target="https://scholarship.law.columbia.edu/cgi/viewcontent.cgi?article=3485&amp;context=faculty_scholarship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</vt:lpstr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</dc:title>
  <dc:subject/>
  <dc:creator>CLS Users</dc:creator>
  <cp:keywords/>
  <cp:lastModifiedBy>Adebambo</cp:lastModifiedBy>
  <cp:revision>9</cp:revision>
  <dcterms:created xsi:type="dcterms:W3CDTF">2024-07-11T12:34:00Z</dcterms:created>
  <dcterms:modified xsi:type="dcterms:W3CDTF">2024-07-15T00:59:00Z</dcterms:modified>
</cp:coreProperties>
</file>