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2FD708" w14:textId="77777777" w:rsidR="00B115A4" w:rsidRPr="00C7268A" w:rsidRDefault="002347BA" w:rsidP="00B115A4">
      <w:pPr>
        <w:spacing w:before="300" w:after="300"/>
        <w:jc w:val="center"/>
        <w:rPr>
          <w:rFonts w:ascii="Century Schoolbook" w:hAnsi="Century Schoolbook"/>
          <w:b/>
          <w:bCs/>
          <w:sz w:val="28"/>
          <w:szCs w:val="28"/>
        </w:rPr>
      </w:pPr>
      <w:r w:rsidRPr="009F549F">
        <w:rPr>
          <w:rFonts w:eastAsia="Century Schoolbook"/>
          <w:b/>
        </w:rPr>
        <w:t xml:space="preserve">Solving the Valuation Challenge: </w:t>
      </w:r>
      <w:r w:rsidRPr="009F549F">
        <w:rPr>
          <w:rFonts w:eastAsia="Century Schoolbook"/>
          <w:b/>
        </w:rPr>
        <w:br/>
        <w:t xml:space="preserve">The ULTRA Method for Taxing Extreme Wealth </w:t>
      </w:r>
    </w:p>
    <w:p w14:paraId="30593F20" w14:textId="77777777" w:rsidR="00B115A4" w:rsidRPr="00CD7B62" w:rsidRDefault="00B115A4" w:rsidP="00B115A4">
      <w:pPr>
        <w:spacing w:before="300" w:after="300"/>
        <w:jc w:val="center"/>
        <w:rPr>
          <w:rFonts w:ascii="Century Schoolbook" w:hAnsi="Century Schoolbook"/>
          <w:b/>
          <w:bCs/>
        </w:rPr>
        <w:sectPr w:rsidR="00B115A4" w:rsidRPr="00CD7B62" w:rsidSect="00B115A4">
          <w:headerReference w:type="default" r:id="rId11"/>
          <w:footerReference w:type="default" r:id="rId12"/>
          <w:footnotePr>
            <w:numRestart w:val="eachSect"/>
          </w:footnotePr>
          <w:pgSz w:w="12240" w:h="15840"/>
          <w:pgMar w:top="1440" w:right="1440" w:bottom="1440" w:left="1440" w:header="720" w:footer="720" w:gutter="0"/>
          <w:pgNumType w:start="1"/>
          <w:cols w:space="720"/>
        </w:sectPr>
      </w:pPr>
    </w:p>
    <w:p w14:paraId="6AD773C8" w14:textId="77777777" w:rsidR="00B115A4" w:rsidRDefault="00B115A4" w:rsidP="00B115A4">
      <w:pPr>
        <w:spacing w:before="300" w:after="300"/>
        <w:jc w:val="center"/>
        <w:rPr>
          <w:rFonts w:ascii="Century Schoolbook" w:hAnsi="Century Schoolbook"/>
          <w:b/>
          <w:bCs/>
          <w:smallCaps/>
        </w:rPr>
      </w:pPr>
    </w:p>
    <w:p w14:paraId="5E7F928D" w14:textId="77777777" w:rsidR="007B1344" w:rsidRPr="009F549F" w:rsidRDefault="002347BA">
      <w:pPr>
        <w:spacing w:before="300" w:after="300"/>
        <w:jc w:val="center"/>
        <w:rPr>
          <w:rFonts w:eastAsia="Century Schoolbook"/>
          <w:b/>
        </w:rPr>
      </w:pPr>
      <w:r w:rsidRPr="009F549F">
        <w:rPr>
          <w:rFonts w:eastAsia="Century Schoolbook"/>
          <w:b/>
          <w:smallCaps/>
        </w:rPr>
        <w:t xml:space="preserve">72 Duke Law </w:t>
      </w:r>
      <w:proofErr w:type="gramStart"/>
      <w:r w:rsidRPr="009F549F">
        <w:rPr>
          <w:rFonts w:eastAsia="Century Schoolbook"/>
          <w:b/>
          <w:smallCaps/>
        </w:rPr>
        <w:t>Journal</w:t>
      </w:r>
      <w:proofErr w:type="gramEnd"/>
      <w:r w:rsidRPr="009F549F">
        <w:rPr>
          <w:rFonts w:eastAsia="Century Schoolbook"/>
          <w:b/>
          <w:smallCaps/>
        </w:rPr>
        <w:t xml:space="preserve"> (</w:t>
      </w:r>
      <w:r w:rsidRPr="009F549F">
        <w:rPr>
          <w:rFonts w:eastAsia="Century Schoolbook"/>
          <w:b/>
          <w:i/>
        </w:rPr>
        <w:t xml:space="preserve">forthcoming </w:t>
      </w:r>
      <w:r w:rsidRPr="009F549F">
        <w:rPr>
          <w:rFonts w:eastAsia="Century Schoolbook"/>
          <w:b/>
        </w:rPr>
        <w:t>2023)</w:t>
      </w:r>
    </w:p>
    <w:p w14:paraId="5F260476" w14:textId="77777777" w:rsidR="007B1344" w:rsidRPr="009F549F" w:rsidRDefault="007B1344">
      <w:pPr>
        <w:spacing w:before="300" w:after="300"/>
        <w:jc w:val="center"/>
        <w:rPr>
          <w:rFonts w:eastAsia="Century Schoolbook"/>
          <w:b/>
        </w:rPr>
      </w:pPr>
    </w:p>
    <w:p w14:paraId="50860985" w14:textId="77777777" w:rsidR="007B1344" w:rsidRPr="009F549F" w:rsidRDefault="002347BA">
      <w:pPr>
        <w:spacing w:before="300" w:after="300"/>
        <w:jc w:val="center"/>
        <w:rPr>
          <w:rFonts w:eastAsia="Century Schoolbook"/>
          <w:b/>
        </w:rPr>
      </w:pPr>
      <w:r w:rsidRPr="009F549F">
        <w:rPr>
          <w:rFonts w:eastAsia="Century Schoolbook"/>
          <w:b/>
        </w:rPr>
        <w:t>Brian Galle</w:t>
      </w:r>
      <w:r w:rsidRPr="009F549F">
        <w:rPr>
          <w:rFonts w:eastAsia="Century Schoolbook"/>
          <w:b/>
          <w:vertAlign w:val="superscript"/>
        </w:rPr>
        <w:footnoteReference w:id="2"/>
      </w:r>
      <w:r w:rsidRPr="009F549F">
        <w:rPr>
          <w:rFonts w:eastAsia="Century Schoolbook"/>
          <w:b/>
        </w:rPr>
        <w:t xml:space="preserve"> </w:t>
      </w:r>
    </w:p>
    <w:p w14:paraId="41280750" w14:textId="77777777" w:rsidR="007B1344" w:rsidRPr="009F549F" w:rsidRDefault="002347BA">
      <w:pPr>
        <w:spacing w:before="300" w:after="300"/>
        <w:jc w:val="center"/>
        <w:rPr>
          <w:rFonts w:eastAsia="Century Schoolbook"/>
          <w:b/>
        </w:rPr>
      </w:pPr>
      <w:r w:rsidRPr="009F549F">
        <w:rPr>
          <w:rFonts w:eastAsia="Century Schoolbook"/>
          <w:b/>
        </w:rPr>
        <w:t>David Gamage</w:t>
      </w:r>
      <w:r w:rsidRPr="009F549F">
        <w:rPr>
          <w:rFonts w:eastAsia="Century Schoolbook"/>
          <w:b/>
          <w:vertAlign w:val="superscript"/>
        </w:rPr>
        <w:footnoteReference w:id="3"/>
      </w:r>
      <w:r w:rsidRPr="009F549F">
        <w:rPr>
          <w:rFonts w:eastAsia="Century Schoolbook"/>
          <w:b/>
        </w:rPr>
        <w:t xml:space="preserve"> </w:t>
      </w:r>
    </w:p>
    <w:p w14:paraId="7F572D66" w14:textId="77777777" w:rsidR="00B115A4" w:rsidRPr="00CD7B62" w:rsidRDefault="002347BA" w:rsidP="00B115A4">
      <w:pPr>
        <w:spacing w:before="300" w:after="300"/>
        <w:jc w:val="center"/>
        <w:rPr>
          <w:rFonts w:ascii="Century Schoolbook" w:hAnsi="Century Schoolbook"/>
          <w:b/>
        </w:rPr>
      </w:pPr>
      <w:r w:rsidRPr="009F549F">
        <w:rPr>
          <w:rFonts w:eastAsia="Century Schoolbook"/>
          <w:b/>
        </w:rPr>
        <w:t xml:space="preserve">Darien </w:t>
      </w:r>
      <w:proofErr w:type="spellStart"/>
      <w:r w:rsidRPr="009F549F">
        <w:rPr>
          <w:rFonts w:eastAsia="Century Schoolbook"/>
          <w:b/>
        </w:rPr>
        <w:t>Shanske</w:t>
      </w:r>
      <w:proofErr w:type="spellEnd"/>
      <w:r w:rsidRPr="009F549F">
        <w:rPr>
          <w:rFonts w:eastAsia="Century Schoolbook"/>
          <w:b/>
          <w:vertAlign w:val="superscript"/>
        </w:rPr>
        <w:footnoteReference w:id="4"/>
      </w:r>
    </w:p>
    <w:p w14:paraId="37AD534B" w14:textId="77777777" w:rsidR="007B1344" w:rsidRPr="009F549F" w:rsidRDefault="007B1344">
      <w:pPr>
        <w:spacing w:before="300" w:after="300"/>
        <w:jc w:val="center"/>
        <w:rPr>
          <w:rFonts w:eastAsia="Century Schoolbook"/>
          <w:b/>
        </w:rPr>
        <w:sectPr w:rsidR="007B1344" w:rsidRPr="009F549F" w:rsidSect="009F549F">
          <w:headerReference w:type="even" r:id="rId13"/>
          <w:headerReference w:type="default" r:id="rId14"/>
          <w:footerReference w:type="first" r:id="rId15"/>
          <w:type w:val="continuous"/>
          <w:pgSz w:w="12240" w:h="15840"/>
          <w:pgMar w:top="2880" w:right="2160" w:bottom="2880" w:left="2160" w:header="2160" w:footer="2160" w:gutter="0"/>
          <w:pgNumType w:start="1"/>
          <w:cols w:space="720"/>
          <w:titlePg/>
        </w:sectPr>
      </w:pPr>
    </w:p>
    <w:p w14:paraId="0F6125D0" w14:textId="77777777" w:rsidR="007B1344" w:rsidRPr="009F549F" w:rsidRDefault="007B1344">
      <w:pPr>
        <w:spacing w:before="300" w:after="300"/>
        <w:jc w:val="center"/>
        <w:rPr>
          <w:rFonts w:eastAsia="Century Schoolbook"/>
          <w:b/>
        </w:rPr>
      </w:pPr>
    </w:p>
    <w:p w14:paraId="1CF44D91" w14:textId="371678F2" w:rsidR="007B1344" w:rsidRPr="009F549F" w:rsidRDefault="002347BA">
      <w:pPr>
        <w:spacing w:before="300" w:after="300"/>
        <w:jc w:val="center"/>
        <w:rPr>
          <w:rFonts w:eastAsia="Century Schoolbook"/>
          <w:b/>
        </w:rPr>
      </w:pPr>
      <w:r w:rsidRPr="009F549F">
        <w:rPr>
          <w:rFonts w:eastAsia="Century Schoolbook"/>
          <w:b/>
        </w:rPr>
        <w:t>Abstract</w:t>
      </w:r>
    </w:p>
    <w:p w14:paraId="63508592" w14:textId="7C4B4BFE" w:rsidR="007B1344" w:rsidRPr="009F549F" w:rsidRDefault="002347BA" w:rsidP="009F549F">
      <w:pPr>
        <w:spacing w:after="300"/>
        <w:rPr>
          <w:rFonts w:eastAsia="Century Schoolbook"/>
          <w:i/>
        </w:rPr>
      </w:pPr>
      <w:r w:rsidRPr="009F549F">
        <w:rPr>
          <w:rFonts w:eastAsia="Century Schoolbook"/>
          <w:i/>
        </w:rPr>
        <w:t xml:space="preserve">Recent reporting based on leaked tax returns of the ultrarich confirms what experts have long suspected: for the wealthiest Americans, paying taxes is </w:t>
      </w:r>
      <w:r w:rsidR="00EC2B76" w:rsidRPr="009F549F">
        <w:rPr>
          <w:rFonts w:eastAsia="Century Schoolbook"/>
          <w:i/>
        </w:rPr>
        <w:t xml:space="preserve">mostly </w:t>
      </w:r>
      <w:r w:rsidRPr="009F549F">
        <w:rPr>
          <w:rFonts w:eastAsia="Century Schoolbook"/>
          <w:i/>
        </w:rPr>
        <w:t xml:space="preserve">optional. Some of the </w:t>
      </w:r>
      <w:r w:rsidRPr="00036097">
        <w:rPr>
          <w:rFonts w:eastAsia="Century Schoolbook"/>
          <w:i/>
        </w:rPr>
        <w:t>country</w:t>
      </w:r>
      <w:r w:rsidR="0031084D">
        <w:rPr>
          <w:rFonts w:eastAsia="Century Schoolbook"/>
          <w:i/>
        </w:rPr>
        <w:t>’</w:t>
      </w:r>
      <w:r w:rsidRPr="00036097">
        <w:rPr>
          <w:rFonts w:eastAsia="Century Schoolbook"/>
          <w:i/>
        </w:rPr>
        <w:t>s</w:t>
      </w:r>
      <w:r w:rsidRPr="009F549F">
        <w:rPr>
          <w:rFonts w:eastAsia="Century Schoolbook"/>
          <w:i/>
        </w:rPr>
        <w:t xml:space="preserve"> richest have reported annual </w:t>
      </w:r>
      <w:r w:rsidR="00FC5D45">
        <w:rPr>
          <w:rFonts w:ascii="Century Schoolbook" w:hAnsi="Century Schoolbook"/>
          <w:i/>
        </w:rPr>
        <w:t xml:space="preserve">taxable </w:t>
      </w:r>
      <w:r w:rsidRPr="009F549F">
        <w:rPr>
          <w:rFonts w:eastAsia="Century Schoolbook"/>
          <w:i/>
        </w:rPr>
        <w:t>incomes that would be modest for a schoolteacher, even as the share of wealth held by the top .1</w:t>
      </w:r>
      <w:r w:rsidR="00542C9C" w:rsidRPr="00036097">
        <w:rPr>
          <w:rFonts w:eastAsia="Century Schoolbook"/>
          <w:i/>
        </w:rPr>
        <w:t xml:space="preserve"> percent</w:t>
      </w:r>
      <w:r w:rsidRPr="009F549F">
        <w:rPr>
          <w:rFonts w:eastAsia="Century Schoolbook"/>
          <w:i/>
        </w:rPr>
        <w:t xml:space="preserve"> is at its highest in nearly a century. </w:t>
      </w:r>
    </w:p>
    <w:p w14:paraId="23212056" w14:textId="7282B021" w:rsidR="007B1344" w:rsidRPr="009F549F" w:rsidRDefault="002347BA" w:rsidP="009F549F">
      <w:pPr>
        <w:spacing w:after="300"/>
        <w:rPr>
          <w:rFonts w:eastAsia="Century Schoolbook"/>
          <w:i/>
        </w:rPr>
      </w:pPr>
      <w:r w:rsidRPr="009F549F">
        <w:rPr>
          <w:rFonts w:eastAsia="Century Schoolbook"/>
          <w:i/>
        </w:rPr>
        <w:t>Experts have long understood that one problem sits at the root</w:t>
      </w:r>
      <w:r w:rsidR="009D142B">
        <w:rPr>
          <w:rFonts w:eastAsia="Century Schoolbook"/>
          <w:i/>
        </w:rPr>
        <w:t>s</w:t>
      </w:r>
      <w:r w:rsidRPr="009F549F">
        <w:rPr>
          <w:rFonts w:eastAsia="Century Schoolbook"/>
          <w:i/>
        </w:rPr>
        <w:t xml:space="preserve"> of many of the tax system's failures to reach the very rich: valuation. Because it is difficult to appraise complex or unique assets, modern tax systems instead wait until an asset is sold to impose tax. In combination with a </w:t>
      </w:r>
      <w:r w:rsidR="00A6505B">
        <w:rPr>
          <w:rFonts w:eastAsia="Century Schoolbook"/>
          <w:i/>
        </w:rPr>
        <w:t>U.S.</w:t>
      </w:r>
      <w:r w:rsidR="00A6505B" w:rsidRPr="00036097">
        <w:rPr>
          <w:rFonts w:eastAsia="Century Schoolbook"/>
          <w:i/>
        </w:rPr>
        <w:t xml:space="preserve"> </w:t>
      </w:r>
      <w:r w:rsidRPr="009F549F">
        <w:rPr>
          <w:rFonts w:eastAsia="Century Schoolbook"/>
          <w:i/>
        </w:rPr>
        <w:t xml:space="preserve">rule that wipes away income tax on inherited profits, and a highly porous estate tax system, this </w:t>
      </w:r>
      <w:r w:rsidR="008023EA" w:rsidRPr="00036097">
        <w:rPr>
          <w:rFonts w:eastAsia="Century Schoolbook"/>
          <w:i/>
        </w:rPr>
        <w:t>“</w:t>
      </w:r>
      <w:r w:rsidRPr="009F549F">
        <w:rPr>
          <w:rFonts w:eastAsia="Century Schoolbook"/>
          <w:i/>
        </w:rPr>
        <w:t>realization</w:t>
      </w:r>
      <w:r w:rsidR="008023EA" w:rsidRPr="00036097">
        <w:rPr>
          <w:rFonts w:eastAsia="Century Schoolbook"/>
          <w:i/>
        </w:rPr>
        <w:t>”</w:t>
      </w:r>
      <w:r w:rsidRPr="009F549F">
        <w:rPr>
          <w:rFonts w:eastAsia="Century Schoolbook"/>
          <w:i/>
        </w:rPr>
        <w:t xml:space="preserve"> approach has deeply undermined U.S. efforts to tax extreme wealth.</w:t>
      </w:r>
    </w:p>
    <w:p w14:paraId="48E2451B" w14:textId="49465A1D" w:rsidR="007B1344" w:rsidRPr="009F549F" w:rsidRDefault="002347BA" w:rsidP="009F549F">
      <w:pPr>
        <w:spacing w:after="300"/>
        <w:rPr>
          <w:rFonts w:eastAsia="Century Schoolbook"/>
          <w:i/>
        </w:rPr>
      </w:pPr>
      <w:r w:rsidRPr="009F549F">
        <w:rPr>
          <w:rFonts w:eastAsia="Century Schoolbook"/>
          <w:i/>
        </w:rPr>
        <w:t xml:space="preserve">This Article proposes a new approach: governments should take payments from the wealthy in the form of notional equity interests, which we call </w:t>
      </w:r>
      <w:r w:rsidR="008664C7">
        <w:rPr>
          <w:rFonts w:eastAsia="Century Schoolbook"/>
          <w:i/>
        </w:rPr>
        <w:t xml:space="preserve">unliquidated tax reserve accounts </w:t>
      </w:r>
      <w:r w:rsidR="008664C7">
        <w:rPr>
          <w:rFonts w:eastAsia="Century Schoolbook"/>
          <w:iCs/>
        </w:rPr>
        <w:t>(</w:t>
      </w:r>
      <w:r w:rsidR="00142939" w:rsidRPr="00036097">
        <w:rPr>
          <w:rFonts w:eastAsia="Century Schoolbook"/>
          <w:i/>
        </w:rPr>
        <w:t>“</w:t>
      </w:r>
      <w:r w:rsidRPr="009F549F">
        <w:rPr>
          <w:rFonts w:eastAsia="Century Schoolbook"/>
        </w:rPr>
        <w:t>ULTRAs</w:t>
      </w:r>
      <w:r w:rsidR="00142939" w:rsidRPr="00036097">
        <w:rPr>
          <w:rFonts w:eastAsia="Century Schoolbook"/>
          <w:i/>
        </w:rPr>
        <w:t>”</w:t>
      </w:r>
      <w:r w:rsidR="008664C7">
        <w:rPr>
          <w:rFonts w:eastAsia="Century Schoolbook"/>
          <w:iCs/>
        </w:rPr>
        <w:t>)</w:t>
      </w:r>
      <w:r w:rsidRPr="009F549F">
        <w:rPr>
          <w:rFonts w:eastAsia="Century Schoolbook"/>
          <w:i/>
        </w:rPr>
        <w:t xml:space="preserve">. Simply put, the ULTRA is economically </w:t>
      </w:r>
      <w:r w:rsidRPr="009F549F">
        <w:rPr>
          <w:rFonts w:eastAsia="Century Schoolbook"/>
          <w:i/>
        </w:rPr>
        <w:lastRenderedPageBreak/>
        <w:t xml:space="preserve">equivalent to a government claim on a portion of the stock of a business, but because it is </w:t>
      </w:r>
      <w:r w:rsidR="00D93254" w:rsidRPr="00036097">
        <w:rPr>
          <w:rFonts w:eastAsia="Century Schoolbook"/>
          <w:i/>
        </w:rPr>
        <w:t>“</w:t>
      </w:r>
      <w:r w:rsidRPr="009F549F">
        <w:rPr>
          <w:rFonts w:eastAsia="Century Schoolbook"/>
          <w:i/>
        </w:rPr>
        <w:t>notional</w:t>
      </w:r>
      <w:r w:rsidR="00D93254" w:rsidRPr="00036097">
        <w:rPr>
          <w:rFonts w:eastAsia="Century Schoolbook"/>
          <w:i/>
        </w:rPr>
        <w:t>,”</w:t>
      </w:r>
      <w:r w:rsidRPr="009F549F">
        <w:rPr>
          <w:rFonts w:eastAsia="Century Schoolbook"/>
          <w:i/>
        </w:rPr>
        <w:t xml:space="preserve"> it does not provide the tax authority with any governance rights or minority shareholder protections. Because the ULTRA represents a set share of an asset, whatever that </w:t>
      </w:r>
      <w:r w:rsidRPr="00036097">
        <w:rPr>
          <w:rFonts w:eastAsia="Century Schoolbook"/>
          <w:i/>
        </w:rPr>
        <w:t>asset</w:t>
      </w:r>
      <w:r w:rsidR="00537F42">
        <w:rPr>
          <w:rFonts w:eastAsia="Century Schoolbook"/>
          <w:i/>
        </w:rPr>
        <w:t>’</w:t>
      </w:r>
      <w:r w:rsidRPr="00036097">
        <w:rPr>
          <w:rFonts w:eastAsia="Century Schoolbook"/>
          <w:i/>
        </w:rPr>
        <w:t>s</w:t>
      </w:r>
      <w:r w:rsidRPr="009F549F">
        <w:rPr>
          <w:rFonts w:eastAsia="Century Schoolbook"/>
          <w:i/>
        </w:rPr>
        <w:t xml:space="preserve"> worth, it does not require valuation. </w:t>
      </w:r>
    </w:p>
    <w:p w14:paraId="2B81E9B0" w14:textId="1A670037" w:rsidR="007B1344" w:rsidRPr="009F549F" w:rsidRDefault="002347BA" w:rsidP="009F549F">
      <w:pPr>
        <w:spacing w:after="300"/>
        <w:rPr>
          <w:rFonts w:eastAsia="Century Schoolbook"/>
          <w:i/>
        </w:rPr>
      </w:pPr>
      <w:r w:rsidRPr="009F549F">
        <w:rPr>
          <w:rFonts w:eastAsia="Century Schoolbook"/>
          <w:i/>
        </w:rPr>
        <w:t xml:space="preserve">We explain how the ULTRA proposal builds on existing components already in use by wealth and income taxes around the globe, as well as </w:t>
      </w:r>
      <w:r w:rsidR="00942262">
        <w:rPr>
          <w:rFonts w:eastAsia="Century Schoolbook"/>
          <w:i/>
        </w:rPr>
        <w:t xml:space="preserve">on </w:t>
      </w:r>
      <w:r w:rsidRPr="009F549F">
        <w:rPr>
          <w:rFonts w:eastAsia="Century Schoolbook"/>
          <w:i/>
        </w:rPr>
        <w:t xml:space="preserve">prior academic proposals. By combining select features from predecessors, the ULTRA addresses many of the shortcomings those tools face individually. For example, unlike the </w:t>
      </w:r>
      <w:r w:rsidR="00643A66" w:rsidRPr="00036097">
        <w:rPr>
          <w:rFonts w:eastAsia="Century Schoolbook"/>
          <w:i/>
        </w:rPr>
        <w:t>“</w:t>
      </w:r>
      <w:r w:rsidRPr="009F549F">
        <w:rPr>
          <w:rFonts w:eastAsia="Century Schoolbook"/>
          <w:i/>
        </w:rPr>
        <w:t>retrospective</w:t>
      </w:r>
      <w:r w:rsidR="00643A66" w:rsidRPr="00036097">
        <w:rPr>
          <w:rFonts w:eastAsia="Century Schoolbook"/>
          <w:i/>
        </w:rPr>
        <w:t>”</w:t>
      </w:r>
      <w:r w:rsidRPr="009F549F">
        <w:rPr>
          <w:rFonts w:eastAsia="Century Schoolbook"/>
          <w:i/>
        </w:rPr>
        <w:t xml:space="preserve"> systems proposed by the economists Alan Auerbach and David Bradford, the ULTRA method ensures that taxpayers who expect to outperform the market with their investments will still have no incentive to delay paying tax. </w:t>
      </w:r>
    </w:p>
    <w:p w14:paraId="31EEC65A" w14:textId="204B633F" w:rsidR="007B1344" w:rsidRPr="009F549F" w:rsidRDefault="002347BA" w:rsidP="009F549F">
      <w:pPr>
        <w:spacing w:after="300"/>
        <w:rPr>
          <w:rFonts w:eastAsia="Century Schoolbook"/>
          <w:i/>
        </w:rPr>
      </w:pPr>
      <w:r w:rsidRPr="009F549F">
        <w:rPr>
          <w:rFonts w:eastAsia="Century Schoolbook"/>
          <w:i/>
        </w:rPr>
        <w:t xml:space="preserve">We then set out a variety of ways in which ULTRAs can be used to close the loopholes that wealthy taxpayers use to minimize their tax burdens. Most obviously, our proposal helps to make an annual tax on extreme wealth viable, and we detail how the ULTRA features in our proposal, developed more comprehensively elsewhere, for a state-level wealth tax. ULTRAs can also be used to reform the income tax system, most ambitiously as in the recent Billionaires Income Tax reform proposals for eliminating the realization approach for the very rich. We also show that valuation is at the core of many other </w:t>
      </w:r>
      <w:proofErr w:type="gramStart"/>
      <w:r w:rsidRPr="009F549F">
        <w:rPr>
          <w:rFonts w:eastAsia="Century Schoolbook"/>
          <w:i/>
        </w:rPr>
        <w:t xml:space="preserve">common </w:t>
      </w:r>
      <w:r w:rsidR="008664C7">
        <w:rPr>
          <w:rFonts w:eastAsia="Century Schoolbook"/>
          <w:i/>
        </w:rPr>
        <w:t xml:space="preserve"> </w:t>
      </w:r>
      <w:r w:rsidRPr="009F549F">
        <w:rPr>
          <w:rFonts w:eastAsia="Century Schoolbook"/>
          <w:i/>
        </w:rPr>
        <w:t>tax</w:t>
      </w:r>
      <w:proofErr w:type="gramEnd"/>
      <w:r w:rsidRPr="009F549F">
        <w:rPr>
          <w:rFonts w:eastAsia="Century Schoolbook"/>
          <w:i/>
        </w:rPr>
        <w:t xml:space="preserve"> dodges</w:t>
      </w:r>
      <w:r w:rsidR="00942262">
        <w:rPr>
          <w:rFonts w:eastAsia="Century Schoolbook"/>
          <w:i/>
        </w:rPr>
        <w:t>,</w:t>
      </w:r>
      <w:r w:rsidRPr="009F549F">
        <w:rPr>
          <w:rFonts w:eastAsia="Century Schoolbook"/>
          <w:i/>
        </w:rPr>
        <w:t xml:space="preserve"> and </w:t>
      </w:r>
      <w:r w:rsidR="00942262">
        <w:rPr>
          <w:rFonts w:eastAsia="Century Schoolbook"/>
          <w:i/>
        </w:rPr>
        <w:t xml:space="preserve">we </w:t>
      </w:r>
      <w:r w:rsidRPr="009F549F">
        <w:rPr>
          <w:rFonts w:eastAsia="Century Schoolbook"/>
          <w:i/>
        </w:rPr>
        <w:t>detail ways that ULTRAs can be used to curtail them.</w:t>
      </w:r>
    </w:p>
    <w:p w14:paraId="303C3420" w14:textId="77777777" w:rsidR="007B1344" w:rsidRPr="009F549F" w:rsidRDefault="007B1344">
      <w:pPr>
        <w:spacing w:after="300"/>
        <w:rPr>
          <w:rFonts w:eastAsia="Century Schoolbook"/>
          <w:i/>
        </w:rPr>
      </w:pPr>
    </w:p>
    <w:p w14:paraId="10A889C4" w14:textId="77777777" w:rsidR="007B1344" w:rsidRPr="009F549F" w:rsidRDefault="002347BA">
      <w:pPr>
        <w:pStyle w:val="Heading1"/>
        <w:spacing w:before="240" w:after="240" w:line="240" w:lineRule="auto"/>
        <w:jc w:val="both"/>
        <w:rPr>
          <w:rFonts w:ascii="Times New Roman" w:hAnsi="Times New Roman"/>
          <w:sz w:val="24"/>
        </w:rPr>
      </w:pPr>
      <w:bookmarkStart w:id="0" w:name="_gjdgxs" w:colFirst="0" w:colLast="0"/>
      <w:bookmarkStart w:id="1" w:name="_Toc115088926"/>
      <w:bookmarkStart w:id="2" w:name="_Toc120019822"/>
      <w:bookmarkEnd w:id="0"/>
      <w:r w:rsidRPr="009F549F">
        <w:rPr>
          <w:rFonts w:ascii="Times New Roman" w:hAnsi="Times New Roman"/>
          <w:sz w:val="24"/>
        </w:rPr>
        <w:t>Table of Contents</w:t>
      </w:r>
      <w:bookmarkEnd w:id="1"/>
      <w:bookmarkEnd w:id="2"/>
    </w:p>
    <w:sdt>
      <w:sdtPr>
        <w:id w:val="108870033"/>
        <w:docPartObj>
          <w:docPartGallery w:val="Table of Contents"/>
          <w:docPartUnique/>
        </w:docPartObj>
      </w:sdtPr>
      <w:sdtEndPr/>
      <w:sdtContent>
        <w:p w14:paraId="15256FD4" w14:textId="43DBAE39" w:rsidR="004A35D6" w:rsidRDefault="002347BA">
          <w:pPr>
            <w:pStyle w:val="TOC1"/>
            <w:tabs>
              <w:tab w:val="right" w:leader="dot" w:pos="7910"/>
            </w:tabs>
            <w:rPr>
              <w:rFonts w:asciiTheme="minorHAnsi" w:eastAsiaTheme="minorEastAsia" w:hAnsiTheme="minorHAnsi" w:cstheme="minorBidi"/>
              <w:noProof/>
            </w:rPr>
          </w:pPr>
          <w:r w:rsidRPr="00036097">
            <w:fldChar w:fldCharType="begin"/>
          </w:r>
          <w:r w:rsidRPr="00036097">
            <w:instrText xml:space="preserve"> TOC \h \u \z </w:instrText>
          </w:r>
          <w:r w:rsidRPr="00036097">
            <w:fldChar w:fldCharType="separate"/>
          </w:r>
          <w:hyperlink w:anchor="_Toc120019822" w:history="1">
            <w:r w:rsidR="004A35D6" w:rsidRPr="0070261D">
              <w:rPr>
                <w:rStyle w:val="Hyperlink"/>
                <w:noProof/>
              </w:rPr>
              <w:t>Table of Contents</w:t>
            </w:r>
            <w:r w:rsidR="004A35D6">
              <w:rPr>
                <w:noProof/>
                <w:webHidden/>
              </w:rPr>
              <w:tab/>
            </w:r>
            <w:r w:rsidR="004A35D6">
              <w:rPr>
                <w:noProof/>
                <w:webHidden/>
              </w:rPr>
              <w:fldChar w:fldCharType="begin"/>
            </w:r>
            <w:r w:rsidR="004A35D6">
              <w:rPr>
                <w:noProof/>
                <w:webHidden/>
              </w:rPr>
              <w:instrText xml:space="preserve"> PAGEREF _Toc120019822 \h </w:instrText>
            </w:r>
            <w:r w:rsidR="004A35D6">
              <w:rPr>
                <w:noProof/>
                <w:webHidden/>
              </w:rPr>
            </w:r>
            <w:r w:rsidR="004A35D6">
              <w:rPr>
                <w:noProof/>
                <w:webHidden/>
              </w:rPr>
              <w:fldChar w:fldCharType="separate"/>
            </w:r>
            <w:r w:rsidR="00880CD2">
              <w:rPr>
                <w:noProof/>
                <w:webHidden/>
              </w:rPr>
              <w:t>1</w:t>
            </w:r>
            <w:r w:rsidR="004A35D6">
              <w:rPr>
                <w:noProof/>
                <w:webHidden/>
              </w:rPr>
              <w:fldChar w:fldCharType="end"/>
            </w:r>
          </w:hyperlink>
        </w:p>
        <w:p w14:paraId="583FD707" w14:textId="5DB79E4A" w:rsidR="004A35D6" w:rsidRDefault="00BB78A7">
          <w:pPr>
            <w:pStyle w:val="TOC1"/>
            <w:tabs>
              <w:tab w:val="right" w:leader="dot" w:pos="7910"/>
            </w:tabs>
            <w:rPr>
              <w:rFonts w:asciiTheme="minorHAnsi" w:eastAsiaTheme="minorEastAsia" w:hAnsiTheme="minorHAnsi" w:cstheme="minorBidi"/>
              <w:noProof/>
            </w:rPr>
          </w:pPr>
          <w:hyperlink w:anchor="_Toc120019823" w:history="1">
            <w:r w:rsidR="004A35D6" w:rsidRPr="0070261D">
              <w:rPr>
                <w:rStyle w:val="Hyperlink"/>
                <w:smallCaps/>
                <w:noProof/>
              </w:rPr>
              <w:t>Introduction</w:t>
            </w:r>
            <w:r w:rsidR="004A35D6">
              <w:rPr>
                <w:noProof/>
                <w:webHidden/>
              </w:rPr>
              <w:tab/>
            </w:r>
            <w:r w:rsidR="004A35D6">
              <w:rPr>
                <w:noProof/>
                <w:webHidden/>
              </w:rPr>
              <w:fldChar w:fldCharType="begin"/>
            </w:r>
            <w:r w:rsidR="004A35D6">
              <w:rPr>
                <w:noProof/>
                <w:webHidden/>
              </w:rPr>
              <w:instrText xml:space="preserve"> PAGEREF _Toc120019823 \h </w:instrText>
            </w:r>
            <w:r w:rsidR="004A35D6">
              <w:rPr>
                <w:noProof/>
                <w:webHidden/>
              </w:rPr>
            </w:r>
            <w:r w:rsidR="004A35D6">
              <w:rPr>
                <w:noProof/>
                <w:webHidden/>
              </w:rPr>
              <w:fldChar w:fldCharType="separate"/>
            </w:r>
            <w:r w:rsidR="00880CD2">
              <w:rPr>
                <w:noProof/>
                <w:webHidden/>
              </w:rPr>
              <w:t>1</w:t>
            </w:r>
            <w:r w:rsidR="004A35D6">
              <w:rPr>
                <w:noProof/>
                <w:webHidden/>
              </w:rPr>
              <w:fldChar w:fldCharType="end"/>
            </w:r>
          </w:hyperlink>
        </w:p>
        <w:p w14:paraId="24291E88" w14:textId="68407810" w:rsidR="004A35D6" w:rsidRDefault="00BB78A7">
          <w:pPr>
            <w:pStyle w:val="TOC1"/>
            <w:tabs>
              <w:tab w:val="left" w:pos="480"/>
              <w:tab w:val="right" w:leader="dot" w:pos="7910"/>
            </w:tabs>
            <w:rPr>
              <w:rFonts w:asciiTheme="minorHAnsi" w:eastAsiaTheme="minorEastAsia" w:hAnsiTheme="minorHAnsi" w:cstheme="minorBidi"/>
              <w:noProof/>
            </w:rPr>
          </w:pPr>
          <w:hyperlink w:anchor="_Toc120019824" w:history="1">
            <w:r w:rsidR="004A35D6" w:rsidRPr="0070261D">
              <w:rPr>
                <w:rStyle w:val="Hyperlink"/>
                <w:smallCaps/>
                <w:noProof/>
              </w:rPr>
              <w:t>I.</w:t>
            </w:r>
            <w:r w:rsidR="004A35D6">
              <w:rPr>
                <w:rFonts w:asciiTheme="minorHAnsi" w:eastAsiaTheme="minorEastAsia" w:hAnsiTheme="minorHAnsi" w:cstheme="minorBidi"/>
                <w:noProof/>
              </w:rPr>
              <w:tab/>
            </w:r>
            <w:r w:rsidR="004A35D6" w:rsidRPr="0070261D">
              <w:rPr>
                <w:rStyle w:val="Hyperlink"/>
                <w:smallCaps/>
                <w:noProof/>
              </w:rPr>
              <w:t>Background: Realization and Its Discontents</w:t>
            </w:r>
            <w:r w:rsidR="004A35D6">
              <w:rPr>
                <w:noProof/>
                <w:webHidden/>
              </w:rPr>
              <w:tab/>
            </w:r>
            <w:r w:rsidR="004A35D6">
              <w:rPr>
                <w:noProof/>
                <w:webHidden/>
              </w:rPr>
              <w:fldChar w:fldCharType="begin"/>
            </w:r>
            <w:r w:rsidR="004A35D6">
              <w:rPr>
                <w:noProof/>
                <w:webHidden/>
              </w:rPr>
              <w:instrText xml:space="preserve"> PAGEREF _Toc120019824 \h </w:instrText>
            </w:r>
            <w:r w:rsidR="004A35D6">
              <w:rPr>
                <w:noProof/>
                <w:webHidden/>
              </w:rPr>
            </w:r>
            <w:r w:rsidR="004A35D6">
              <w:rPr>
                <w:noProof/>
                <w:webHidden/>
              </w:rPr>
              <w:fldChar w:fldCharType="separate"/>
            </w:r>
            <w:r w:rsidR="00880CD2">
              <w:rPr>
                <w:noProof/>
                <w:webHidden/>
              </w:rPr>
              <w:t>1</w:t>
            </w:r>
            <w:r w:rsidR="004A35D6">
              <w:rPr>
                <w:noProof/>
                <w:webHidden/>
              </w:rPr>
              <w:fldChar w:fldCharType="end"/>
            </w:r>
          </w:hyperlink>
        </w:p>
        <w:p w14:paraId="58850BF7" w14:textId="0C4AEF55" w:rsidR="004A35D6" w:rsidRDefault="00BB78A7">
          <w:pPr>
            <w:pStyle w:val="TOC1"/>
            <w:tabs>
              <w:tab w:val="right" w:leader="dot" w:pos="7910"/>
            </w:tabs>
            <w:rPr>
              <w:rFonts w:asciiTheme="minorHAnsi" w:eastAsiaTheme="minorEastAsia" w:hAnsiTheme="minorHAnsi" w:cstheme="minorBidi"/>
              <w:noProof/>
            </w:rPr>
          </w:pPr>
          <w:hyperlink w:anchor="_Toc120019825" w:history="1">
            <w:r w:rsidR="004A35D6" w:rsidRPr="0070261D">
              <w:rPr>
                <w:rStyle w:val="Hyperlink"/>
                <w:smallCaps/>
                <w:noProof/>
              </w:rPr>
              <w:t>II. Partial Solutions to the Valuation Challenge</w:t>
            </w:r>
            <w:r w:rsidR="004A35D6">
              <w:rPr>
                <w:noProof/>
                <w:webHidden/>
              </w:rPr>
              <w:tab/>
            </w:r>
            <w:r w:rsidR="004A35D6">
              <w:rPr>
                <w:noProof/>
                <w:webHidden/>
              </w:rPr>
              <w:fldChar w:fldCharType="begin"/>
            </w:r>
            <w:r w:rsidR="004A35D6">
              <w:rPr>
                <w:noProof/>
                <w:webHidden/>
              </w:rPr>
              <w:instrText xml:space="preserve"> PAGEREF _Toc120019825 \h </w:instrText>
            </w:r>
            <w:r w:rsidR="004A35D6">
              <w:rPr>
                <w:noProof/>
                <w:webHidden/>
              </w:rPr>
            </w:r>
            <w:r w:rsidR="004A35D6">
              <w:rPr>
                <w:noProof/>
                <w:webHidden/>
              </w:rPr>
              <w:fldChar w:fldCharType="separate"/>
            </w:r>
            <w:r w:rsidR="00880CD2">
              <w:rPr>
                <w:noProof/>
                <w:webHidden/>
              </w:rPr>
              <w:t>1</w:t>
            </w:r>
            <w:r w:rsidR="004A35D6">
              <w:rPr>
                <w:noProof/>
                <w:webHidden/>
              </w:rPr>
              <w:fldChar w:fldCharType="end"/>
            </w:r>
          </w:hyperlink>
        </w:p>
        <w:p w14:paraId="0328E44B" w14:textId="31CC4A79" w:rsidR="004A35D6" w:rsidRDefault="00BB78A7">
          <w:pPr>
            <w:pStyle w:val="TOC2"/>
            <w:tabs>
              <w:tab w:val="left" w:pos="720"/>
            </w:tabs>
            <w:rPr>
              <w:rFonts w:asciiTheme="minorHAnsi" w:eastAsiaTheme="minorEastAsia" w:hAnsiTheme="minorHAnsi" w:cstheme="minorBidi"/>
              <w:noProof/>
            </w:rPr>
          </w:pPr>
          <w:hyperlink w:anchor="_Toc120019826" w:history="1">
            <w:r w:rsidR="004A35D6" w:rsidRPr="0070261D">
              <w:rPr>
                <w:rStyle w:val="Hyperlink"/>
                <w:i/>
                <w:noProof/>
              </w:rPr>
              <w:t>A.</w:t>
            </w:r>
            <w:r w:rsidR="004A35D6">
              <w:rPr>
                <w:rFonts w:asciiTheme="minorHAnsi" w:eastAsiaTheme="minorEastAsia" w:hAnsiTheme="minorHAnsi" w:cstheme="minorBidi"/>
                <w:noProof/>
              </w:rPr>
              <w:tab/>
            </w:r>
            <w:r w:rsidR="004A35D6" w:rsidRPr="0070261D">
              <w:rPr>
                <w:rStyle w:val="Hyperlink"/>
                <w:i/>
                <w:noProof/>
              </w:rPr>
              <w:t>Taxing Under the Lamppost: Wealth and Mark-to-Market Taxes Around the World</w:t>
            </w:r>
            <w:r w:rsidR="004A35D6">
              <w:rPr>
                <w:noProof/>
                <w:webHidden/>
              </w:rPr>
              <w:tab/>
            </w:r>
            <w:r w:rsidR="004A35D6">
              <w:rPr>
                <w:noProof/>
                <w:webHidden/>
              </w:rPr>
              <w:fldChar w:fldCharType="begin"/>
            </w:r>
            <w:r w:rsidR="004A35D6">
              <w:rPr>
                <w:noProof/>
                <w:webHidden/>
              </w:rPr>
              <w:instrText xml:space="preserve"> PAGEREF _Toc120019826 \h </w:instrText>
            </w:r>
            <w:r w:rsidR="004A35D6">
              <w:rPr>
                <w:noProof/>
                <w:webHidden/>
              </w:rPr>
            </w:r>
            <w:r w:rsidR="004A35D6">
              <w:rPr>
                <w:noProof/>
                <w:webHidden/>
              </w:rPr>
              <w:fldChar w:fldCharType="separate"/>
            </w:r>
            <w:r w:rsidR="00880CD2">
              <w:rPr>
                <w:noProof/>
                <w:webHidden/>
              </w:rPr>
              <w:t>1</w:t>
            </w:r>
            <w:r w:rsidR="004A35D6">
              <w:rPr>
                <w:noProof/>
                <w:webHidden/>
              </w:rPr>
              <w:fldChar w:fldCharType="end"/>
            </w:r>
          </w:hyperlink>
        </w:p>
        <w:p w14:paraId="52CAB164" w14:textId="0551DF73" w:rsidR="004A35D6" w:rsidRDefault="00BB78A7">
          <w:pPr>
            <w:pStyle w:val="TOC2"/>
            <w:rPr>
              <w:rFonts w:asciiTheme="minorHAnsi" w:eastAsiaTheme="minorEastAsia" w:hAnsiTheme="minorHAnsi" w:cstheme="minorBidi"/>
              <w:noProof/>
            </w:rPr>
          </w:pPr>
          <w:hyperlink w:anchor="_Toc120019827" w:history="1">
            <w:r w:rsidR="004A35D6" w:rsidRPr="0070261D">
              <w:rPr>
                <w:rStyle w:val="Hyperlink"/>
                <w:i/>
                <w:noProof/>
              </w:rPr>
              <w:t>B. Formulaic Valuations and the Swiss Near-Miss</w:t>
            </w:r>
            <w:r w:rsidR="004A35D6">
              <w:rPr>
                <w:noProof/>
                <w:webHidden/>
              </w:rPr>
              <w:tab/>
            </w:r>
            <w:r w:rsidR="004A35D6">
              <w:rPr>
                <w:noProof/>
                <w:webHidden/>
              </w:rPr>
              <w:fldChar w:fldCharType="begin"/>
            </w:r>
            <w:r w:rsidR="004A35D6">
              <w:rPr>
                <w:noProof/>
                <w:webHidden/>
              </w:rPr>
              <w:instrText xml:space="preserve"> PAGEREF _Toc120019827 \h </w:instrText>
            </w:r>
            <w:r w:rsidR="004A35D6">
              <w:rPr>
                <w:noProof/>
                <w:webHidden/>
              </w:rPr>
            </w:r>
            <w:r w:rsidR="004A35D6">
              <w:rPr>
                <w:noProof/>
                <w:webHidden/>
              </w:rPr>
              <w:fldChar w:fldCharType="separate"/>
            </w:r>
            <w:r w:rsidR="00880CD2">
              <w:rPr>
                <w:noProof/>
                <w:webHidden/>
              </w:rPr>
              <w:t>1</w:t>
            </w:r>
            <w:r w:rsidR="004A35D6">
              <w:rPr>
                <w:noProof/>
                <w:webHidden/>
              </w:rPr>
              <w:fldChar w:fldCharType="end"/>
            </w:r>
          </w:hyperlink>
        </w:p>
        <w:p w14:paraId="4504203F" w14:textId="30F5E9F0" w:rsidR="004A35D6" w:rsidRDefault="00BB78A7">
          <w:pPr>
            <w:pStyle w:val="TOC2"/>
            <w:rPr>
              <w:rFonts w:asciiTheme="minorHAnsi" w:eastAsiaTheme="minorEastAsia" w:hAnsiTheme="minorHAnsi" w:cstheme="minorBidi"/>
              <w:noProof/>
            </w:rPr>
          </w:pPr>
          <w:hyperlink w:anchor="_Toc120019828" w:history="1">
            <w:r w:rsidR="004A35D6" w:rsidRPr="0070261D">
              <w:rPr>
                <w:rStyle w:val="Hyperlink"/>
                <w:i/>
                <w:noProof/>
              </w:rPr>
              <w:t>C. Putting It Off Until Tomorrow: Retrospective Taxation and Interest Charges</w:t>
            </w:r>
            <w:r w:rsidR="004A35D6">
              <w:rPr>
                <w:noProof/>
                <w:webHidden/>
              </w:rPr>
              <w:tab/>
            </w:r>
            <w:r w:rsidR="004A35D6">
              <w:rPr>
                <w:noProof/>
                <w:webHidden/>
              </w:rPr>
              <w:fldChar w:fldCharType="begin"/>
            </w:r>
            <w:r w:rsidR="004A35D6">
              <w:rPr>
                <w:noProof/>
                <w:webHidden/>
              </w:rPr>
              <w:instrText xml:space="preserve"> PAGEREF _Toc120019828 \h </w:instrText>
            </w:r>
            <w:r w:rsidR="004A35D6">
              <w:rPr>
                <w:noProof/>
                <w:webHidden/>
              </w:rPr>
            </w:r>
            <w:r w:rsidR="004A35D6">
              <w:rPr>
                <w:noProof/>
                <w:webHidden/>
              </w:rPr>
              <w:fldChar w:fldCharType="separate"/>
            </w:r>
            <w:r w:rsidR="00880CD2">
              <w:rPr>
                <w:noProof/>
                <w:webHidden/>
              </w:rPr>
              <w:t>1</w:t>
            </w:r>
            <w:r w:rsidR="004A35D6">
              <w:rPr>
                <w:noProof/>
                <w:webHidden/>
              </w:rPr>
              <w:fldChar w:fldCharType="end"/>
            </w:r>
          </w:hyperlink>
        </w:p>
        <w:p w14:paraId="4A55F657" w14:textId="651C67A3" w:rsidR="004A35D6" w:rsidRDefault="00BB78A7">
          <w:pPr>
            <w:pStyle w:val="TOC2"/>
            <w:rPr>
              <w:rFonts w:asciiTheme="minorHAnsi" w:eastAsiaTheme="minorEastAsia" w:hAnsiTheme="minorHAnsi" w:cstheme="minorBidi"/>
              <w:noProof/>
            </w:rPr>
          </w:pPr>
          <w:hyperlink w:anchor="_Toc120019829" w:history="1">
            <w:r w:rsidR="004A35D6" w:rsidRPr="0070261D">
              <w:rPr>
                <w:rStyle w:val="Hyperlink"/>
                <w:i/>
                <w:noProof/>
              </w:rPr>
              <w:t>D.  Government Equity: A New Land?</w:t>
            </w:r>
            <w:r w:rsidR="004A35D6">
              <w:rPr>
                <w:noProof/>
                <w:webHidden/>
              </w:rPr>
              <w:tab/>
            </w:r>
            <w:r w:rsidR="004A35D6">
              <w:rPr>
                <w:noProof/>
                <w:webHidden/>
              </w:rPr>
              <w:fldChar w:fldCharType="begin"/>
            </w:r>
            <w:r w:rsidR="004A35D6">
              <w:rPr>
                <w:noProof/>
                <w:webHidden/>
              </w:rPr>
              <w:instrText xml:space="preserve"> PAGEREF _Toc120019829 \h </w:instrText>
            </w:r>
            <w:r w:rsidR="004A35D6">
              <w:rPr>
                <w:noProof/>
                <w:webHidden/>
              </w:rPr>
            </w:r>
            <w:r w:rsidR="004A35D6">
              <w:rPr>
                <w:noProof/>
                <w:webHidden/>
              </w:rPr>
              <w:fldChar w:fldCharType="separate"/>
            </w:r>
            <w:r w:rsidR="00880CD2">
              <w:rPr>
                <w:noProof/>
                <w:webHidden/>
              </w:rPr>
              <w:t>1</w:t>
            </w:r>
            <w:r w:rsidR="004A35D6">
              <w:rPr>
                <w:noProof/>
                <w:webHidden/>
              </w:rPr>
              <w:fldChar w:fldCharType="end"/>
            </w:r>
          </w:hyperlink>
        </w:p>
        <w:p w14:paraId="5ED83F32" w14:textId="0DC0D50C" w:rsidR="004A35D6" w:rsidRDefault="00BB78A7">
          <w:pPr>
            <w:pStyle w:val="TOC2"/>
            <w:rPr>
              <w:rFonts w:asciiTheme="minorHAnsi" w:eastAsiaTheme="minorEastAsia" w:hAnsiTheme="minorHAnsi" w:cstheme="minorBidi"/>
              <w:noProof/>
            </w:rPr>
          </w:pPr>
          <w:hyperlink w:anchor="_Toc120019830" w:history="1">
            <w:r w:rsidR="004A35D6" w:rsidRPr="0070261D">
              <w:rPr>
                <w:rStyle w:val="Hyperlink"/>
                <w:i/>
                <w:noProof/>
              </w:rPr>
              <w:t>E.       In-Kind Payments Are Not Sufficiently Kind</w:t>
            </w:r>
            <w:r w:rsidR="004A35D6">
              <w:rPr>
                <w:noProof/>
                <w:webHidden/>
              </w:rPr>
              <w:tab/>
            </w:r>
            <w:r w:rsidR="004A35D6">
              <w:rPr>
                <w:noProof/>
                <w:webHidden/>
              </w:rPr>
              <w:fldChar w:fldCharType="begin"/>
            </w:r>
            <w:r w:rsidR="004A35D6">
              <w:rPr>
                <w:noProof/>
                <w:webHidden/>
              </w:rPr>
              <w:instrText xml:space="preserve"> PAGEREF _Toc120019830 \h </w:instrText>
            </w:r>
            <w:r w:rsidR="004A35D6">
              <w:rPr>
                <w:noProof/>
                <w:webHidden/>
              </w:rPr>
            </w:r>
            <w:r w:rsidR="004A35D6">
              <w:rPr>
                <w:noProof/>
                <w:webHidden/>
              </w:rPr>
              <w:fldChar w:fldCharType="separate"/>
            </w:r>
            <w:r w:rsidR="00880CD2">
              <w:rPr>
                <w:noProof/>
                <w:webHidden/>
              </w:rPr>
              <w:t>1</w:t>
            </w:r>
            <w:r w:rsidR="004A35D6">
              <w:rPr>
                <w:noProof/>
                <w:webHidden/>
              </w:rPr>
              <w:fldChar w:fldCharType="end"/>
            </w:r>
          </w:hyperlink>
        </w:p>
        <w:p w14:paraId="28FD47F8" w14:textId="39B9F85D" w:rsidR="004A35D6" w:rsidRDefault="00BB78A7">
          <w:pPr>
            <w:pStyle w:val="TOC2"/>
            <w:rPr>
              <w:rFonts w:asciiTheme="minorHAnsi" w:eastAsiaTheme="minorEastAsia" w:hAnsiTheme="minorHAnsi" w:cstheme="minorBidi"/>
              <w:noProof/>
            </w:rPr>
          </w:pPr>
          <w:hyperlink w:anchor="_Toc120019831" w:history="1">
            <w:r w:rsidR="004A35D6" w:rsidRPr="0070261D">
              <w:rPr>
                <w:rStyle w:val="Hyperlink"/>
                <w:i/>
                <w:noProof/>
              </w:rPr>
              <w:t>F.   Key Tools Already in Use: Separated Accounts, Information-Generating Rules, and the Problem of Identifying Withdrawals</w:t>
            </w:r>
            <w:r w:rsidR="004A35D6">
              <w:rPr>
                <w:noProof/>
                <w:webHidden/>
              </w:rPr>
              <w:tab/>
            </w:r>
            <w:r w:rsidR="004A35D6">
              <w:rPr>
                <w:noProof/>
                <w:webHidden/>
              </w:rPr>
              <w:fldChar w:fldCharType="begin"/>
            </w:r>
            <w:r w:rsidR="004A35D6">
              <w:rPr>
                <w:noProof/>
                <w:webHidden/>
              </w:rPr>
              <w:instrText xml:space="preserve"> PAGEREF _Toc120019831 \h </w:instrText>
            </w:r>
            <w:r w:rsidR="004A35D6">
              <w:rPr>
                <w:noProof/>
                <w:webHidden/>
              </w:rPr>
            </w:r>
            <w:r w:rsidR="004A35D6">
              <w:rPr>
                <w:noProof/>
                <w:webHidden/>
              </w:rPr>
              <w:fldChar w:fldCharType="separate"/>
            </w:r>
            <w:r w:rsidR="00880CD2">
              <w:rPr>
                <w:noProof/>
                <w:webHidden/>
              </w:rPr>
              <w:t>1</w:t>
            </w:r>
            <w:r w:rsidR="004A35D6">
              <w:rPr>
                <w:noProof/>
                <w:webHidden/>
              </w:rPr>
              <w:fldChar w:fldCharType="end"/>
            </w:r>
          </w:hyperlink>
        </w:p>
        <w:p w14:paraId="17BEB0AA" w14:textId="2E79DACF" w:rsidR="004A35D6" w:rsidRDefault="00BB78A7">
          <w:pPr>
            <w:pStyle w:val="TOC1"/>
            <w:tabs>
              <w:tab w:val="left" w:pos="720"/>
              <w:tab w:val="right" w:leader="dot" w:pos="7910"/>
            </w:tabs>
            <w:rPr>
              <w:rFonts w:asciiTheme="minorHAnsi" w:eastAsiaTheme="minorEastAsia" w:hAnsiTheme="minorHAnsi" w:cstheme="minorBidi"/>
              <w:noProof/>
            </w:rPr>
          </w:pPr>
          <w:hyperlink w:anchor="_Toc120019832" w:history="1">
            <w:r w:rsidR="004A35D6" w:rsidRPr="0070261D">
              <w:rPr>
                <w:rStyle w:val="Hyperlink"/>
                <w:smallCaps/>
                <w:noProof/>
              </w:rPr>
              <w:t>III.</w:t>
            </w:r>
            <w:r w:rsidR="004A35D6">
              <w:rPr>
                <w:rFonts w:asciiTheme="minorHAnsi" w:eastAsiaTheme="minorEastAsia" w:hAnsiTheme="minorHAnsi" w:cstheme="minorBidi"/>
                <w:noProof/>
              </w:rPr>
              <w:tab/>
            </w:r>
            <w:r w:rsidR="004A35D6" w:rsidRPr="0070261D">
              <w:rPr>
                <w:rStyle w:val="Hyperlink"/>
                <w:smallCaps/>
                <w:noProof/>
              </w:rPr>
              <w:t>The ULTRA Method</w:t>
            </w:r>
            <w:r w:rsidR="004A35D6">
              <w:rPr>
                <w:noProof/>
                <w:webHidden/>
              </w:rPr>
              <w:tab/>
            </w:r>
            <w:r w:rsidR="004A35D6">
              <w:rPr>
                <w:noProof/>
                <w:webHidden/>
              </w:rPr>
              <w:fldChar w:fldCharType="begin"/>
            </w:r>
            <w:r w:rsidR="004A35D6">
              <w:rPr>
                <w:noProof/>
                <w:webHidden/>
              </w:rPr>
              <w:instrText xml:space="preserve"> PAGEREF _Toc120019832 \h </w:instrText>
            </w:r>
            <w:r w:rsidR="004A35D6">
              <w:rPr>
                <w:noProof/>
                <w:webHidden/>
              </w:rPr>
            </w:r>
            <w:r w:rsidR="004A35D6">
              <w:rPr>
                <w:noProof/>
                <w:webHidden/>
              </w:rPr>
              <w:fldChar w:fldCharType="separate"/>
            </w:r>
            <w:r w:rsidR="00880CD2">
              <w:rPr>
                <w:noProof/>
                <w:webHidden/>
              </w:rPr>
              <w:t>1</w:t>
            </w:r>
            <w:r w:rsidR="004A35D6">
              <w:rPr>
                <w:noProof/>
                <w:webHidden/>
              </w:rPr>
              <w:fldChar w:fldCharType="end"/>
            </w:r>
          </w:hyperlink>
        </w:p>
        <w:p w14:paraId="098C2CBF" w14:textId="13CBF492" w:rsidR="004A35D6" w:rsidRDefault="00BB78A7">
          <w:pPr>
            <w:pStyle w:val="TOC2"/>
            <w:tabs>
              <w:tab w:val="left" w:pos="720"/>
            </w:tabs>
            <w:rPr>
              <w:rFonts w:asciiTheme="minorHAnsi" w:eastAsiaTheme="minorEastAsia" w:hAnsiTheme="minorHAnsi" w:cstheme="minorBidi"/>
              <w:noProof/>
            </w:rPr>
          </w:pPr>
          <w:hyperlink w:anchor="_Toc120019833" w:history="1">
            <w:r w:rsidR="004A35D6" w:rsidRPr="0070261D">
              <w:rPr>
                <w:rStyle w:val="Hyperlink"/>
                <w:i/>
                <w:noProof/>
              </w:rPr>
              <w:t>A.</w:t>
            </w:r>
            <w:r w:rsidR="004A35D6">
              <w:rPr>
                <w:rFonts w:asciiTheme="minorHAnsi" w:eastAsiaTheme="minorEastAsia" w:hAnsiTheme="minorHAnsi" w:cstheme="minorBidi"/>
                <w:noProof/>
              </w:rPr>
              <w:tab/>
            </w:r>
            <w:r w:rsidR="004A35D6" w:rsidRPr="0070261D">
              <w:rPr>
                <w:rStyle w:val="Hyperlink"/>
                <w:i/>
                <w:noProof/>
              </w:rPr>
              <w:t>The Basics of the Notional Equity Interest</w:t>
            </w:r>
            <w:r w:rsidR="004A35D6">
              <w:rPr>
                <w:noProof/>
                <w:webHidden/>
              </w:rPr>
              <w:tab/>
            </w:r>
            <w:r w:rsidR="004A35D6">
              <w:rPr>
                <w:noProof/>
                <w:webHidden/>
              </w:rPr>
              <w:fldChar w:fldCharType="begin"/>
            </w:r>
            <w:r w:rsidR="004A35D6">
              <w:rPr>
                <w:noProof/>
                <w:webHidden/>
              </w:rPr>
              <w:instrText xml:space="preserve"> PAGEREF _Toc120019833 \h </w:instrText>
            </w:r>
            <w:r w:rsidR="004A35D6">
              <w:rPr>
                <w:noProof/>
                <w:webHidden/>
              </w:rPr>
            </w:r>
            <w:r w:rsidR="004A35D6">
              <w:rPr>
                <w:noProof/>
                <w:webHidden/>
              </w:rPr>
              <w:fldChar w:fldCharType="separate"/>
            </w:r>
            <w:r w:rsidR="00880CD2">
              <w:rPr>
                <w:noProof/>
                <w:webHidden/>
              </w:rPr>
              <w:t>1</w:t>
            </w:r>
            <w:r w:rsidR="004A35D6">
              <w:rPr>
                <w:noProof/>
                <w:webHidden/>
              </w:rPr>
              <w:fldChar w:fldCharType="end"/>
            </w:r>
          </w:hyperlink>
        </w:p>
        <w:p w14:paraId="619D5DB2" w14:textId="12722F74" w:rsidR="004A35D6" w:rsidRDefault="00BB78A7">
          <w:pPr>
            <w:pStyle w:val="TOC2"/>
            <w:rPr>
              <w:rFonts w:asciiTheme="minorHAnsi" w:eastAsiaTheme="minorEastAsia" w:hAnsiTheme="minorHAnsi" w:cstheme="minorBidi"/>
              <w:noProof/>
            </w:rPr>
          </w:pPr>
          <w:hyperlink w:anchor="_Toc120019834" w:history="1">
            <w:r w:rsidR="004A35D6" w:rsidRPr="0070261D">
              <w:rPr>
                <w:rStyle w:val="Hyperlink"/>
                <w:i/>
                <w:noProof/>
              </w:rPr>
              <w:t>B. The Scope of the Deferral Option</w:t>
            </w:r>
            <w:r w:rsidR="004A35D6">
              <w:rPr>
                <w:noProof/>
                <w:webHidden/>
              </w:rPr>
              <w:tab/>
            </w:r>
            <w:r w:rsidR="004A35D6">
              <w:rPr>
                <w:noProof/>
                <w:webHidden/>
              </w:rPr>
              <w:fldChar w:fldCharType="begin"/>
            </w:r>
            <w:r w:rsidR="004A35D6">
              <w:rPr>
                <w:noProof/>
                <w:webHidden/>
              </w:rPr>
              <w:instrText xml:space="preserve"> PAGEREF _Toc120019834 \h </w:instrText>
            </w:r>
            <w:r w:rsidR="004A35D6">
              <w:rPr>
                <w:noProof/>
                <w:webHidden/>
              </w:rPr>
            </w:r>
            <w:r w:rsidR="004A35D6">
              <w:rPr>
                <w:noProof/>
                <w:webHidden/>
              </w:rPr>
              <w:fldChar w:fldCharType="separate"/>
            </w:r>
            <w:r w:rsidR="00880CD2">
              <w:rPr>
                <w:noProof/>
                <w:webHidden/>
              </w:rPr>
              <w:t>1</w:t>
            </w:r>
            <w:r w:rsidR="004A35D6">
              <w:rPr>
                <w:noProof/>
                <w:webHidden/>
              </w:rPr>
              <w:fldChar w:fldCharType="end"/>
            </w:r>
          </w:hyperlink>
        </w:p>
        <w:p w14:paraId="6D206C59" w14:textId="41932146" w:rsidR="004A35D6" w:rsidRDefault="00BB78A7">
          <w:pPr>
            <w:pStyle w:val="TOC2"/>
            <w:rPr>
              <w:rFonts w:asciiTheme="minorHAnsi" w:eastAsiaTheme="minorEastAsia" w:hAnsiTheme="minorHAnsi" w:cstheme="minorBidi"/>
              <w:noProof/>
            </w:rPr>
          </w:pPr>
          <w:hyperlink w:anchor="_Toc120019835" w:history="1">
            <w:r w:rsidR="004A35D6" w:rsidRPr="0070261D">
              <w:rPr>
                <w:rStyle w:val="Hyperlink"/>
                <w:i/>
                <w:noProof/>
              </w:rPr>
              <w:t>C. Contributions, Partial Withdrawals, and Deemed Withdrawals</w:t>
            </w:r>
            <w:r w:rsidR="004A35D6">
              <w:rPr>
                <w:noProof/>
                <w:webHidden/>
              </w:rPr>
              <w:tab/>
            </w:r>
            <w:r w:rsidR="004A35D6">
              <w:rPr>
                <w:noProof/>
                <w:webHidden/>
              </w:rPr>
              <w:fldChar w:fldCharType="begin"/>
            </w:r>
            <w:r w:rsidR="004A35D6">
              <w:rPr>
                <w:noProof/>
                <w:webHidden/>
              </w:rPr>
              <w:instrText xml:space="preserve"> PAGEREF _Toc120019835 \h </w:instrText>
            </w:r>
            <w:r w:rsidR="004A35D6">
              <w:rPr>
                <w:noProof/>
                <w:webHidden/>
              </w:rPr>
            </w:r>
            <w:r w:rsidR="004A35D6">
              <w:rPr>
                <w:noProof/>
                <w:webHidden/>
              </w:rPr>
              <w:fldChar w:fldCharType="separate"/>
            </w:r>
            <w:r w:rsidR="00880CD2">
              <w:rPr>
                <w:noProof/>
                <w:webHidden/>
              </w:rPr>
              <w:t>1</w:t>
            </w:r>
            <w:r w:rsidR="004A35D6">
              <w:rPr>
                <w:noProof/>
                <w:webHidden/>
              </w:rPr>
              <w:fldChar w:fldCharType="end"/>
            </w:r>
          </w:hyperlink>
        </w:p>
        <w:p w14:paraId="0FE987BF" w14:textId="447053BF" w:rsidR="004A35D6" w:rsidRDefault="00BB78A7">
          <w:pPr>
            <w:pStyle w:val="TOC2"/>
            <w:rPr>
              <w:rFonts w:asciiTheme="minorHAnsi" w:eastAsiaTheme="minorEastAsia" w:hAnsiTheme="minorHAnsi" w:cstheme="minorBidi"/>
              <w:noProof/>
            </w:rPr>
          </w:pPr>
          <w:hyperlink w:anchor="_Toc120019836" w:history="1">
            <w:r w:rsidR="004A35D6" w:rsidRPr="0070261D">
              <w:rPr>
                <w:rStyle w:val="Hyperlink"/>
                <w:i/>
                <w:noProof/>
              </w:rPr>
              <w:t>D. The Take-It-or-Leave-It Alternative Valuation Mechanism</w:t>
            </w:r>
            <w:r w:rsidR="004A35D6">
              <w:rPr>
                <w:noProof/>
                <w:webHidden/>
              </w:rPr>
              <w:tab/>
            </w:r>
            <w:r w:rsidR="004A35D6">
              <w:rPr>
                <w:noProof/>
                <w:webHidden/>
              </w:rPr>
              <w:fldChar w:fldCharType="begin"/>
            </w:r>
            <w:r w:rsidR="004A35D6">
              <w:rPr>
                <w:noProof/>
                <w:webHidden/>
              </w:rPr>
              <w:instrText xml:space="preserve"> PAGEREF _Toc120019836 \h </w:instrText>
            </w:r>
            <w:r w:rsidR="004A35D6">
              <w:rPr>
                <w:noProof/>
                <w:webHidden/>
              </w:rPr>
            </w:r>
            <w:r w:rsidR="004A35D6">
              <w:rPr>
                <w:noProof/>
                <w:webHidden/>
              </w:rPr>
              <w:fldChar w:fldCharType="separate"/>
            </w:r>
            <w:r w:rsidR="00880CD2">
              <w:rPr>
                <w:noProof/>
                <w:webHidden/>
              </w:rPr>
              <w:t>1</w:t>
            </w:r>
            <w:r w:rsidR="004A35D6">
              <w:rPr>
                <w:noProof/>
                <w:webHidden/>
              </w:rPr>
              <w:fldChar w:fldCharType="end"/>
            </w:r>
          </w:hyperlink>
        </w:p>
        <w:p w14:paraId="0D097625" w14:textId="24498DA5" w:rsidR="004A35D6" w:rsidRDefault="00BB78A7">
          <w:pPr>
            <w:pStyle w:val="TOC2"/>
            <w:rPr>
              <w:rFonts w:asciiTheme="minorHAnsi" w:eastAsiaTheme="minorEastAsia" w:hAnsiTheme="minorHAnsi" w:cstheme="minorBidi"/>
              <w:noProof/>
            </w:rPr>
          </w:pPr>
          <w:hyperlink w:anchor="_Toc120019837" w:history="1">
            <w:r w:rsidR="004A35D6" w:rsidRPr="0070261D">
              <w:rPr>
                <w:rStyle w:val="Hyperlink"/>
                <w:i/>
                <w:noProof/>
              </w:rPr>
              <w:t>E. Comparing the ULTRA Solution to Alternatives</w:t>
            </w:r>
            <w:r w:rsidR="004A35D6">
              <w:rPr>
                <w:noProof/>
                <w:webHidden/>
              </w:rPr>
              <w:tab/>
            </w:r>
            <w:r w:rsidR="004A35D6">
              <w:rPr>
                <w:noProof/>
                <w:webHidden/>
              </w:rPr>
              <w:fldChar w:fldCharType="begin"/>
            </w:r>
            <w:r w:rsidR="004A35D6">
              <w:rPr>
                <w:noProof/>
                <w:webHidden/>
              </w:rPr>
              <w:instrText xml:space="preserve"> PAGEREF _Toc120019837 \h </w:instrText>
            </w:r>
            <w:r w:rsidR="004A35D6">
              <w:rPr>
                <w:noProof/>
                <w:webHidden/>
              </w:rPr>
            </w:r>
            <w:r w:rsidR="004A35D6">
              <w:rPr>
                <w:noProof/>
                <w:webHidden/>
              </w:rPr>
              <w:fldChar w:fldCharType="separate"/>
            </w:r>
            <w:r w:rsidR="00880CD2">
              <w:rPr>
                <w:noProof/>
                <w:webHidden/>
              </w:rPr>
              <w:t>1</w:t>
            </w:r>
            <w:r w:rsidR="004A35D6">
              <w:rPr>
                <w:noProof/>
                <w:webHidden/>
              </w:rPr>
              <w:fldChar w:fldCharType="end"/>
            </w:r>
          </w:hyperlink>
        </w:p>
        <w:p w14:paraId="3F060F0E" w14:textId="34CBC2D1" w:rsidR="004A35D6" w:rsidRDefault="00BB78A7">
          <w:pPr>
            <w:pStyle w:val="TOC1"/>
            <w:tabs>
              <w:tab w:val="left" w:pos="1440"/>
              <w:tab w:val="right" w:leader="dot" w:pos="7910"/>
            </w:tabs>
            <w:rPr>
              <w:rFonts w:asciiTheme="minorHAnsi" w:eastAsiaTheme="minorEastAsia" w:hAnsiTheme="minorHAnsi" w:cstheme="minorBidi"/>
              <w:noProof/>
            </w:rPr>
          </w:pPr>
          <w:hyperlink w:anchor="_Toc120019838" w:history="1">
            <w:r w:rsidR="004A35D6" w:rsidRPr="0070261D">
              <w:rPr>
                <w:rStyle w:val="Hyperlink"/>
                <w:smallCaps/>
                <w:noProof/>
              </w:rPr>
              <w:t xml:space="preserve">IV.              </w:t>
            </w:r>
            <w:r w:rsidR="004A35D6">
              <w:rPr>
                <w:rFonts w:asciiTheme="minorHAnsi" w:eastAsiaTheme="minorEastAsia" w:hAnsiTheme="minorHAnsi" w:cstheme="minorBidi"/>
                <w:noProof/>
              </w:rPr>
              <w:tab/>
            </w:r>
            <w:r w:rsidR="004A35D6" w:rsidRPr="0070261D">
              <w:rPr>
                <w:rStyle w:val="Hyperlink"/>
                <w:smallCaps/>
                <w:noProof/>
              </w:rPr>
              <w:t>Applications</w:t>
            </w:r>
            <w:r w:rsidR="004A35D6">
              <w:rPr>
                <w:noProof/>
                <w:webHidden/>
              </w:rPr>
              <w:tab/>
            </w:r>
            <w:r w:rsidR="004A35D6">
              <w:rPr>
                <w:noProof/>
                <w:webHidden/>
              </w:rPr>
              <w:fldChar w:fldCharType="begin"/>
            </w:r>
            <w:r w:rsidR="004A35D6">
              <w:rPr>
                <w:noProof/>
                <w:webHidden/>
              </w:rPr>
              <w:instrText xml:space="preserve"> PAGEREF _Toc120019838 \h </w:instrText>
            </w:r>
            <w:r w:rsidR="004A35D6">
              <w:rPr>
                <w:noProof/>
                <w:webHidden/>
              </w:rPr>
            </w:r>
            <w:r w:rsidR="004A35D6">
              <w:rPr>
                <w:noProof/>
                <w:webHidden/>
              </w:rPr>
              <w:fldChar w:fldCharType="separate"/>
            </w:r>
            <w:r w:rsidR="00880CD2">
              <w:rPr>
                <w:noProof/>
                <w:webHidden/>
              </w:rPr>
              <w:t>1</w:t>
            </w:r>
            <w:r w:rsidR="004A35D6">
              <w:rPr>
                <w:noProof/>
                <w:webHidden/>
              </w:rPr>
              <w:fldChar w:fldCharType="end"/>
            </w:r>
          </w:hyperlink>
        </w:p>
        <w:p w14:paraId="667C6CF7" w14:textId="07FD9788" w:rsidR="004A35D6" w:rsidRDefault="00BB78A7">
          <w:pPr>
            <w:pStyle w:val="TOC2"/>
            <w:rPr>
              <w:rFonts w:asciiTheme="minorHAnsi" w:eastAsiaTheme="minorEastAsia" w:hAnsiTheme="minorHAnsi" w:cstheme="minorBidi"/>
              <w:noProof/>
            </w:rPr>
          </w:pPr>
          <w:hyperlink w:anchor="_Toc120019839" w:history="1">
            <w:r w:rsidR="004A35D6" w:rsidRPr="0070261D">
              <w:rPr>
                <w:rStyle w:val="Hyperlink"/>
                <w:i/>
                <w:noProof/>
              </w:rPr>
              <w:t>A. Comprehensive Wealth Tax Reforms and the Proposed California Tax on Extreme Wealth</w:t>
            </w:r>
            <w:r w:rsidR="004A35D6">
              <w:rPr>
                <w:noProof/>
                <w:webHidden/>
              </w:rPr>
              <w:tab/>
            </w:r>
            <w:r w:rsidR="004A35D6">
              <w:rPr>
                <w:noProof/>
                <w:webHidden/>
              </w:rPr>
              <w:fldChar w:fldCharType="begin"/>
            </w:r>
            <w:r w:rsidR="004A35D6">
              <w:rPr>
                <w:noProof/>
                <w:webHidden/>
              </w:rPr>
              <w:instrText xml:space="preserve"> PAGEREF _Toc120019839 \h </w:instrText>
            </w:r>
            <w:r w:rsidR="004A35D6">
              <w:rPr>
                <w:noProof/>
                <w:webHidden/>
              </w:rPr>
            </w:r>
            <w:r w:rsidR="004A35D6">
              <w:rPr>
                <w:noProof/>
                <w:webHidden/>
              </w:rPr>
              <w:fldChar w:fldCharType="separate"/>
            </w:r>
            <w:r w:rsidR="00880CD2">
              <w:rPr>
                <w:noProof/>
                <w:webHidden/>
              </w:rPr>
              <w:t>1</w:t>
            </w:r>
            <w:r w:rsidR="004A35D6">
              <w:rPr>
                <w:noProof/>
                <w:webHidden/>
              </w:rPr>
              <w:fldChar w:fldCharType="end"/>
            </w:r>
          </w:hyperlink>
        </w:p>
        <w:p w14:paraId="4E6D3A9D" w14:textId="26AAFA73" w:rsidR="004A35D6" w:rsidRDefault="00BB78A7">
          <w:pPr>
            <w:pStyle w:val="TOC2"/>
            <w:tabs>
              <w:tab w:val="left" w:pos="960"/>
            </w:tabs>
            <w:rPr>
              <w:rFonts w:asciiTheme="minorHAnsi" w:eastAsiaTheme="minorEastAsia" w:hAnsiTheme="minorHAnsi" w:cstheme="minorBidi"/>
              <w:noProof/>
            </w:rPr>
          </w:pPr>
          <w:hyperlink w:anchor="_Toc120019840" w:history="1">
            <w:r w:rsidR="004A35D6" w:rsidRPr="0070261D">
              <w:rPr>
                <w:rStyle w:val="Hyperlink"/>
                <w:i/>
                <w:noProof/>
              </w:rPr>
              <w:t xml:space="preserve">B.   </w:t>
            </w:r>
            <w:r w:rsidR="004A35D6">
              <w:rPr>
                <w:rFonts w:asciiTheme="minorHAnsi" w:eastAsiaTheme="minorEastAsia" w:hAnsiTheme="minorHAnsi" w:cstheme="minorBidi"/>
                <w:noProof/>
              </w:rPr>
              <w:tab/>
            </w:r>
            <w:r w:rsidR="004A35D6" w:rsidRPr="0070261D">
              <w:rPr>
                <w:rStyle w:val="Hyperlink"/>
                <w:i/>
                <w:noProof/>
              </w:rPr>
              <w:t>Mark-to-Market Income Tax Reforms</w:t>
            </w:r>
            <w:r w:rsidR="004A35D6">
              <w:rPr>
                <w:noProof/>
                <w:webHidden/>
              </w:rPr>
              <w:tab/>
            </w:r>
            <w:r w:rsidR="004A35D6">
              <w:rPr>
                <w:noProof/>
                <w:webHidden/>
              </w:rPr>
              <w:fldChar w:fldCharType="begin"/>
            </w:r>
            <w:r w:rsidR="004A35D6">
              <w:rPr>
                <w:noProof/>
                <w:webHidden/>
              </w:rPr>
              <w:instrText xml:space="preserve"> PAGEREF _Toc120019840 \h </w:instrText>
            </w:r>
            <w:r w:rsidR="004A35D6">
              <w:rPr>
                <w:noProof/>
                <w:webHidden/>
              </w:rPr>
            </w:r>
            <w:r w:rsidR="004A35D6">
              <w:rPr>
                <w:noProof/>
                <w:webHidden/>
              </w:rPr>
              <w:fldChar w:fldCharType="separate"/>
            </w:r>
            <w:r w:rsidR="00880CD2">
              <w:rPr>
                <w:noProof/>
                <w:webHidden/>
              </w:rPr>
              <w:t>1</w:t>
            </w:r>
            <w:r w:rsidR="004A35D6">
              <w:rPr>
                <w:noProof/>
                <w:webHidden/>
              </w:rPr>
              <w:fldChar w:fldCharType="end"/>
            </w:r>
          </w:hyperlink>
        </w:p>
        <w:p w14:paraId="4F6E6EAD" w14:textId="0856D08B" w:rsidR="004A35D6" w:rsidRDefault="00BB78A7">
          <w:pPr>
            <w:pStyle w:val="TOC2"/>
            <w:rPr>
              <w:rFonts w:asciiTheme="minorHAnsi" w:eastAsiaTheme="minorEastAsia" w:hAnsiTheme="minorHAnsi" w:cstheme="minorBidi"/>
              <w:noProof/>
            </w:rPr>
          </w:pPr>
          <w:hyperlink w:anchor="_Toc120019841" w:history="1">
            <w:r w:rsidR="004A35D6" w:rsidRPr="0070261D">
              <w:rPr>
                <w:rStyle w:val="Hyperlink"/>
                <w:i/>
                <w:noProof/>
              </w:rPr>
              <w:t>C.       Death and Gratuitous Transfers</w:t>
            </w:r>
            <w:r w:rsidR="004A35D6">
              <w:rPr>
                <w:noProof/>
                <w:webHidden/>
              </w:rPr>
              <w:tab/>
            </w:r>
            <w:r w:rsidR="004A35D6">
              <w:rPr>
                <w:noProof/>
                <w:webHidden/>
              </w:rPr>
              <w:fldChar w:fldCharType="begin"/>
            </w:r>
            <w:r w:rsidR="004A35D6">
              <w:rPr>
                <w:noProof/>
                <w:webHidden/>
              </w:rPr>
              <w:instrText xml:space="preserve"> PAGEREF _Toc120019841 \h </w:instrText>
            </w:r>
            <w:r w:rsidR="004A35D6">
              <w:rPr>
                <w:noProof/>
                <w:webHidden/>
              </w:rPr>
            </w:r>
            <w:r w:rsidR="004A35D6">
              <w:rPr>
                <w:noProof/>
                <w:webHidden/>
              </w:rPr>
              <w:fldChar w:fldCharType="separate"/>
            </w:r>
            <w:r w:rsidR="00880CD2">
              <w:rPr>
                <w:noProof/>
                <w:webHidden/>
              </w:rPr>
              <w:t>1</w:t>
            </w:r>
            <w:r w:rsidR="004A35D6">
              <w:rPr>
                <w:noProof/>
                <w:webHidden/>
              </w:rPr>
              <w:fldChar w:fldCharType="end"/>
            </w:r>
          </w:hyperlink>
        </w:p>
        <w:p w14:paraId="5A98D44A" w14:textId="058B11E8" w:rsidR="004A35D6" w:rsidRDefault="00BB78A7">
          <w:pPr>
            <w:pStyle w:val="TOC2"/>
            <w:rPr>
              <w:rFonts w:asciiTheme="minorHAnsi" w:eastAsiaTheme="minorEastAsia" w:hAnsiTheme="minorHAnsi" w:cstheme="minorBidi"/>
              <w:noProof/>
            </w:rPr>
          </w:pPr>
          <w:hyperlink w:anchor="_Toc120019842" w:history="1">
            <w:r w:rsidR="004A35D6" w:rsidRPr="0070261D">
              <w:rPr>
                <w:rStyle w:val="Hyperlink"/>
                <w:i/>
                <w:noProof/>
              </w:rPr>
              <w:t>D.       Property Tax Regimes</w:t>
            </w:r>
            <w:r w:rsidR="004A35D6">
              <w:rPr>
                <w:noProof/>
                <w:webHidden/>
              </w:rPr>
              <w:tab/>
            </w:r>
            <w:r w:rsidR="004A35D6">
              <w:rPr>
                <w:noProof/>
                <w:webHidden/>
              </w:rPr>
              <w:fldChar w:fldCharType="begin"/>
            </w:r>
            <w:r w:rsidR="004A35D6">
              <w:rPr>
                <w:noProof/>
                <w:webHidden/>
              </w:rPr>
              <w:instrText xml:space="preserve"> PAGEREF _Toc120019842 \h </w:instrText>
            </w:r>
            <w:r w:rsidR="004A35D6">
              <w:rPr>
                <w:noProof/>
                <w:webHidden/>
              </w:rPr>
            </w:r>
            <w:r w:rsidR="004A35D6">
              <w:rPr>
                <w:noProof/>
                <w:webHidden/>
              </w:rPr>
              <w:fldChar w:fldCharType="separate"/>
            </w:r>
            <w:r w:rsidR="00880CD2">
              <w:rPr>
                <w:noProof/>
                <w:webHidden/>
              </w:rPr>
              <w:t>1</w:t>
            </w:r>
            <w:r w:rsidR="004A35D6">
              <w:rPr>
                <w:noProof/>
                <w:webHidden/>
              </w:rPr>
              <w:fldChar w:fldCharType="end"/>
            </w:r>
          </w:hyperlink>
        </w:p>
        <w:p w14:paraId="3414F4DF" w14:textId="433AA79B" w:rsidR="004A35D6" w:rsidRDefault="00BB78A7">
          <w:pPr>
            <w:pStyle w:val="TOC2"/>
            <w:rPr>
              <w:rFonts w:asciiTheme="minorHAnsi" w:eastAsiaTheme="minorEastAsia" w:hAnsiTheme="minorHAnsi" w:cstheme="minorBidi"/>
              <w:noProof/>
            </w:rPr>
          </w:pPr>
          <w:hyperlink w:anchor="_Toc120019843" w:history="1">
            <w:r w:rsidR="004A35D6" w:rsidRPr="0070261D">
              <w:rPr>
                <w:rStyle w:val="Hyperlink"/>
                <w:i/>
                <w:noProof/>
              </w:rPr>
              <w:t>E.       Other Income Tax Reforms</w:t>
            </w:r>
            <w:r w:rsidR="004A35D6">
              <w:rPr>
                <w:noProof/>
                <w:webHidden/>
              </w:rPr>
              <w:tab/>
            </w:r>
            <w:r w:rsidR="004A35D6">
              <w:rPr>
                <w:noProof/>
                <w:webHidden/>
              </w:rPr>
              <w:fldChar w:fldCharType="begin"/>
            </w:r>
            <w:r w:rsidR="004A35D6">
              <w:rPr>
                <w:noProof/>
                <w:webHidden/>
              </w:rPr>
              <w:instrText xml:space="preserve"> PAGEREF _Toc120019843 \h </w:instrText>
            </w:r>
            <w:r w:rsidR="004A35D6">
              <w:rPr>
                <w:noProof/>
                <w:webHidden/>
              </w:rPr>
            </w:r>
            <w:r w:rsidR="004A35D6">
              <w:rPr>
                <w:noProof/>
                <w:webHidden/>
              </w:rPr>
              <w:fldChar w:fldCharType="separate"/>
            </w:r>
            <w:r w:rsidR="00880CD2">
              <w:rPr>
                <w:noProof/>
                <w:webHidden/>
              </w:rPr>
              <w:t>1</w:t>
            </w:r>
            <w:r w:rsidR="004A35D6">
              <w:rPr>
                <w:noProof/>
                <w:webHidden/>
              </w:rPr>
              <w:fldChar w:fldCharType="end"/>
            </w:r>
          </w:hyperlink>
        </w:p>
        <w:p w14:paraId="2302EE9F" w14:textId="3C3CB33C" w:rsidR="004A35D6" w:rsidRDefault="00BB78A7">
          <w:pPr>
            <w:pStyle w:val="TOC3"/>
            <w:tabs>
              <w:tab w:val="left" w:pos="960"/>
              <w:tab w:val="right" w:leader="dot" w:pos="7910"/>
            </w:tabs>
            <w:rPr>
              <w:rFonts w:asciiTheme="minorHAnsi" w:eastAsiaTheme="minorEastAsia" w:hAnsiTheme="minorHAnsi" w:cstheme="minorBidi"/>
              <w:noProof/>
            </w:rPr>
          </w:pPr>
          <w:hyperlink w:anchor="_Toc120019844" w:history="1">
            <w:r w:rsidR="004A35D6" w:rsidRPr="0070261D">
              <w:rPr>
                <w:rStyle w:val="Hyperlink"/>
                <w:i/>
                <w:noProof/>
              </w:rPr>
              <w:t>1.</w:t>
            </w:r>
            <w:r w:rsidR="004A35D6">
              <w:rPr>
                <w:rFonts w:asciiTheme="minorHAnsi" w:eastAsiaTheme="minorEastAsia" w:hAnsiTheme="minorHAnsi" w:cstheme="minorBidi"/>
                <w:noProof/>
              </w:rPr>
              <w:tab/>
            </w:r>
            <w:r w:rsidR="004A35D6" w:rsidRPr="0070261D">
              <w:rPr>
                <w:rStyle w:val="Hyperlink"/>
                <w:i/>
                <w:noProof/>
              </w:rPr>
              <w:t>Carried Interest and Other Deferred Compensation</w:t>
            </w:r>
            <w:r w:rsidR="004A35D6">
              <w:rPr>
                <w:noProof/>
                <w:webHidden/>
              </w:rPr>
              <w:tab/>
            </w:r>
            <w:r w:rsidR="004A35D6">
              <w:rPr>
                <w:noProof/>
                <w:webHidden/>
              </w:rPr>
              <w:fldChar w:fldCharType="begin"/>
            </w:r>
            <w:r w:rsidR="004A35D6">
              <w:rPr>
                <w:noProof/>
                <w:webHidden/>
              </w:rPr>
              <w:instrText xml:space="preserve"> PAGEREF _Toc120019844 \h </w:instrText>
            </w:r>
            <w:r w:rsidR="004A35D6">
              <w:rPr>
                <w:noProof/>
                <w:webHidden/>
              </w:rPr>
            </w:r>
            <w:r w:rsidR="004A35D6">
              <w:rPr>
                <w:noProof/>
                <w:webHidden/>
              </w:rPr>
              <w:fldChar w:fldCharType="separate"/>
            </w:r>
            <w:r w:rsidR="00880CD2">
              <w:rPr>
                <w:noProof/>
                <w:webHidden/>
              </w:rPr>
              <w:t>1</w:t>
            </w:r>
            <w:r w:rsidR="004A35D6">
              <w:rPr>
                <w:noProof/>
                <w:webHidden/>
              </w:rPr>
              <w:fldChar w:fldCharType="end"/>
            </w:r>
          </w:hyperlink>
        </w:p>
        <w:p w14:paraId="42891AE9" w14:textId="7FB4DB09" w:rsidR="004A35D6" w:rsidRDefault="00BB78A7">
          <w:pPr>
            <w:pStyle w:val="TOC3"/>
            <w:tabs>
              <w:tab w:val="right" w:leader="dot" w:pos="7910"/>
            </w:tabs>
            <w:rPr>
              <w:rFonts w:asciiTheme="minorHAnsi" w:eastAsiaTheme="minorEastAsia" w:hAnsiTheme="minorHAnsi" w:cstheme="minorBidi"/>
              <w:noProof/>
            </w:rPr>
          </w:pPr>
          <w:hyperlink w:anchor="_Toc120019845" w:history="1">
            <w:r w:rsidR="004A35D6" w:rsidRPr="0070261D">
              <w:rPr>
                <w:rStyle w:val="Hyperlink"/>
                <w:i/>
                <w:noProof/>
              </w:rPr>
              <w:t>2.      Installment Sales, Earnouts, and Open Transactions</w:t>
            </w:r>
            <w:r w:rsidR="004A35D6">
              <w:rPr>
                <w:noProof/>
                <w:webHidden/>
              </w:rPr>
              <w:tab/>
            </w:r>
            <w:r w:rsidR="004A35D6">
              <w:rPr>
                <w:noProof/>
                <w:webHidden/>
              </w:rPr>
              <w:fldChar w:fldCharType="begin"/>
            </w:r>
            <w:r w:rsidR="004A35D6">
              <w:rPr>
                <w:noProof/>
                <w:webHidden/>
              </w:rPr>
              <w:instrText xml:space="preserve"> PAGEREF _Toc120019845 \h </w:instrText>
            </w:r>
            <w:r w:rsidR="004A35D6">
              <w:rPr>
                <w:noProof/>
                <w:webHidden/>
              </w:rPr>
            </w:r>
            <w:r w:rsidR="004A35D6">
              <w:rPr>
                <w:noProof/>
                <w:webHidden/>
              </w:rPr>
              <w:fldChar w:fldCharType="separate"/>
            </w:r>
            <w:r w:rsidR="00880CD2">
              <w:rPr>
                <w:noProof/>
                <w:webHidden/>
              </w:rPr>
              <w:t>1</w:t>
            </w:r>
            <w:r w:rsidR="004A35D6">
              <w:rPr>
                <w:noProof/>
                <w:webHidden/>
              </w:rPr>
              <w:fldChar w:fldCharType="end"/>
            </w:r>
          </w:hyperlink>
        </w:p>
        <w:p w14:paraId="20DA2B9F" w14:textId="5843EB18" w:rsidR="004A35D6" w:rsidRDefault="00BB78A7">
          <w:pPr>
            <w:pStyle w:val="TOC3"/>
            <w:tabs>
              <w:tab w:val="right" w:leader="dot" w:pos="7910"/>
            </w:tabs>
            <w:rPr>
              <w:rFonts w:asciiTheme="minorHAnsi" w:eastAsiaTheme="minorEastAsia" w:hAnsiTheme="minorHAnsi" w:cstheme="minorBidi"/>
              <w:noProof/>
            </w:rPr>
          </w:pPr>
          <w:hyperlink w:anchor="_Toc120019846" w:history="1">
            <w:r w:rsidR="004A35D6" w:rsidRPr="0070261D">
              <w:rPr>
                <w:rStyle w:val="Hyperlink"/>
                <w:i/>
                <w:noProof/>
              </w:rPr>
              <w:t>3.      In-Kind Donations</w:t>
            </w:r>
            <w:r w:rsidR="004A35D6">
              <w:rPr>
                <w:noProof/>
                <w:webHidden/>
              </w:rPr>
              <w:tab/>
            </w:r>
            <w:r w:rsidR="004A35D6">
              <w:rPr>
                <w:noProof/>
                <w:webHidden/>
              </w:rPr>
              <w:fldChar w:fldCharType="begin"/>
            </w:r>
            <w:r w:rsidR="004A35D6">
              <w:rPr>
                <w:noProof/>
                <w:webHidden/>
              </w:rPr>
              <w:instrText xml:space="preserve"> PAGEREF _Toc120019846 \h </w:instrText>
            </w:r>
            <w:r w:rsidR="004A35D6">
              <w:rPr>
                <w:noProof/>
                <w:webHidden/>
              </w:rPr>
            </w:r>
            <w:r w:rsidR="004A35D6">
              <w:rPr>
                <w:noProof/>
                <w:webHidden/>
              </w:rPr>
              <w:fldChar w:fldCharType="separate"/>
            </w:r>
            <w:r w:rsidR="00880CD2">
              <w:rPr>
                <w:noProof/>
                <w:webHidden/>
              </w:rPr>
              <w:t>1</w:t>
            </w:r>
            <w:r w:rsidR="004A35D6">
              <w:rPr>
                <w:noProof/>
                <w:webHidden/>
              </w:rPr>
              <w:fldChar w:fldCharType="end"/>
            </w:r>
          </w:hyperlink>
        </w:p>
        <w:p w14:paraId="6CC83778" w14:textId="409ED741" w:rsidR="004A35D6" w:rsidRDefault="00BB78A7">
          <w:pPr>
            <w:pStyle w:val="TOC1"/>
            <w:tabs>
              <w:tab w:val="right" w:leader="dot" w:pos="7910"/>
            </w:tabs>
            <w:rPr>
              <w:rFonts w:asciiTheme="minorHAnsi" w:eastAsiaTheme="minorEastAsia" w:hAnsiTheme="minorHAnsi" w:cstheme="minorBidi"/>
              <w:noProof/>
            </w:rPr>
          </w:pPr>
          <w:hyperlink w:anchor="_Toc120019847" w:history="1">
            <w:r w:rsidR="004A35D6" w:rsidRPr="0070261D">
              <w:rPr>
                <w:rStyle w:val="Hyperlink"/>
                <w:smallCaps/>
                <w:noProof/>
              </w:rPr>
              <w:t>Conclusion</w:t>
            </w:r>
            <w:r w:rsidR="004A35D6">
              <w:rPr>
                <w:noProof/>
                <w:webHidden/>
              </w:rPr>
              <w:tab/>
            </w:r>
            <w:r w:rsidR="004A35D6">
              <w:rPr>
                <w:noProof/>
                <w:webHidden/>
              </w:rPr>
              <w:fldChar w:fldCharType="begin"/>
            </w:r>
            <w:r w:rsidR="004A35D6">
              <w:rPr>
                <w:noProof/>
                <w:webHidden/>
              </w:rPr>
              <w:instrText xml:space="preserve"> PAGEREF _Toc120019847 \h </w:instrText>
            </w:r>
            <w:r w:rsidR="004A35D6">
              <w:rPr>
                <w:noProof/>
                <w:webHidden/>
              </w:rPr>
            </w:r>
            <w:r w:rsidR="004A35D6">
              <w:rPr>
                <w:noProof/>
                <w:webHidden/>
              </w:rPr>
              <w:fldChar w:fldCharType="separate"/>
            </w:r>
            <w:r w:rsidR="00880CD2">
              <w:rPr>
                <w:noProof/>
                <w:webHidden/>
              </w:rPr>
              <w:t>1</w:t>
            </w:r>
            <w:r w:rsidR="004A35D6">
              <w:rPr>
                <w:noProof/>
                <w:webHidden/>
              </w:rPr>
              <w:fldChar w:fldCharType="end"/>
            </w:r>
          </w:hyperlink>
        </w:p>
        <w:p w14:paraId="5804E616" w14:textId="28B4A2CB" w:rsidR="004A35D6" w:rsidRDefault="00BB78A7">
          <w:pPr>
            <w:pStyle w:val="TOC1"/>
            <w:tabs>
              <w:tab w:val="right" w:leader="dot" w:pos="7910"/>
            </w:tabs>
            <w:rPr>
              <w:rFonts w:asciiTheme="minorHAnsi" w:eastAsiaTheme="minorEastAsia" w:hAnsiTheme="minorHAnsi" w:cstheme="minorBidi"/>
              <w:noProof/>
            </w:rPr>
          </w:pPr>
          <w:hyperlink w:anchor="_Toc120019848" w:history="1">
            <w:r w:rsidR="004A35D6" w:rsidRPr="0070261D">
              <w:rPr>
                <w:rStyle w:val="Hyperlink"/>
                <w:smallCaps/>
                <w:noProof/>
              </w:rPr>
              <w:t>Technical Appendix</w:t>
            </w:r>
            <w:r w:rsidR="004A35D6">
              <w:rPr>
                <w:noProof/>
                <w:webHidden/>
              </w:rPr>
              <w:tab/>
            </w:r>
            <w:r w:rsidR="004A35D6">
              <w:rPr>
                <w:noProof/>
                <w:webHidden/>
              </w:rPr>
              <w:fldChar w:fldCharType="begin"/>
            </w:r>
            <w:r w:rsidR="004A35D6">
              <w:rPr>
                <w:noProof/>
                <w:webHidden/>
              </w:rPr>
              <w:instrText xml:space="preserve"> PAGEREF _Toc120019848 \h </w:instrText>
            </w:r>
            <w:r w:rsidR="004A35D6">
              <w:rPr>
                <w:noProof/>
                <w:webHidden/>
              </w:rPr>
            </w:r>
            <w:r w:rsidR="004A35D6">
              <w:rPr>
                <w:noProof/>
                <w:webHidden/>
              </w:rPr>
              <w:fldChar w:fldCharType="separate"/>
            </w:r>
            <w:r w:rsidR="00880CD2">
              <w:rPr>
                <w:noProof/>
                <w:webHidden/>
              </w:rPr>
              <w:t>1</w:t>
            </w:r>
            <w:r w:rsidR="004A35D6">
              <w:rPr>
                <w:noProof/>
                <w:webHidden/>
              </w:rPr>
              <w:fldChar w:fldCharType="end"/>
            </w:r>
          </w:hyperlink>
        </w:p>
        <w:p w14:paraId="52F4D5D6" w14:textId="4EFBBE9F" w:rsidR="007B1344" w:rsidRPr="009F549F" w:rsidRDefault="002347BA">
          <w:pPr>
            <w:rPr>
              <w:rFonts w:eastAsia="Century Schoolbook"/>
            </w:rPr>
          </w:pPr>
          <w:r w:rsidRPr="00036097">
            <w:fldChar w:fldCharType="end"/>
          </w:r>
        </w:p>
      </w:sdtContent>
    </w:sdt>
    <w:p w14:paraId="6553E0E5" w14:textId="77777777" w:rsidR="00F34FFE" w:rsidRDefault="00F34FFE">
      <w:pPr>
        <w:spacing w:line="276" w:lineRule="auto"/>
        <w:rPr>
          <w:rFonts w:ascii="Century Schoolbook" w:eastAsia="Century Schoolbook" w:hAnsi="Century Schoolbook" w:cs="Century Schoolbook"/>
          <w:b/>
          <w:smallCaps/>
          <w:sz w:val="22"/>
          <w:szCs w:val="22"/>
          <w:lang w:val="en"/>
        </w:rPr>
      </w:pPr>
      <w:r>
        <w:rPr>
          <w:smallCaps/>
        </w:rPr>
        <w:br w:type="page"/>
      </w:r>
    </w:p>
    <w:p w14:paraId="15BC647C" w14:textId="77777777" w:rsidR="007B1344" w:rsidRPr="009F549F" w:rsidRDefault="002347BA">
      <w:pPr>
        <w:pStyle w:val="Heading1"/>
        <w:rPr>
          <w:rFonts w:ascii="Times New Roman" w:hAnsi="Times New Roman"/>
          <w:smallCaps/>
          <w:sz w:val="24"/>
        </w:rPr>
      </w:pPr>
      <w:bookmarkStart w:id="3" w:name="_Toc115088927"/>
      <w:bookmarkStart w:id="4" w:name="_Toc120019823"/>
      <w:r w:rsidRPr="009F549F">
        <w:rPr>
          <w:rFonts w:ascii="Times New Roman" w:hAnsi="Times New Roman"/>
          <w:smallCaps/>
          <w:sz w:val="24"/>
        </w:rPr>
        <w:lastRenderedPageBreak/>
        <w:t>Introduction</w:t>
      </w:r>
      <w:bookmarkEnd w:id="3"/>
      <w:bookmarkEnd w:id="4"/>
    </w:p>
    <w:p w14:paraId="7767B88B" w14:textId="4CD44269" w:rsidR="007B1344" w:rsidRPr="009F549F" w:rsidRDefault="002347BA">
      <w:pPr>
        <w:spacing w:before="240" w:after="240"/>
        <w:ind w:firstLine="720"/>
        <w:jc w:val="both"/>
        <w:rPr>
          <w:rFonts w:eastAsia="Century Schoolbook"/>
        </w:rPr>
      </w:pPr>
      <w:bookmarkStart w:id="5" w:name="_1fob9te" w:colFirst="0" w:colLast="0"/>
      <w:bookmarkEnd w:id="5"/>
      <w:r w:rsidRPr="009F549F">
        <w:rPr>
          <w:rFonts w:eastAsia="Century Schoolbook"/>
        </w:rPr>
        <w:t>We live in an age of inequality.</w:t>
      </w:r>
      <w:r w:rsidRPr="009F549F">
        <w:rPr>
          <w:rFonts w:eastAsia="Century Schoolbook"/>
          <w:vertAlign w:val="superscript"/>
        </w:rPr>
        <w:footnoteReference w:id="5"/>
      </w:r>
      <w:r w:rsidRPr="009F549F">
        <w:rPr>
          <w:rFonts w:eastAsia="Century Schoolbook"/>
        </w:rPr>
        <w:t xml:space="preserve"> While there is some disagreement over </w:t>
      </w:r>
      <w:r w:rsidRPr="00036097">
        <w:rPr>
          <w:rFonts w:eastAsia="Century Schoolbook"/>
        </w:rPr>
        <w:t>inequality</w:t>
      </w:r>
      <w:r w:rsidR="008B2CA0" w:rsidRPr="00036097">
        <w:rPr>
          <w:rFonts w:eastAsia="Century Schoolbook"/>
        </w:rPr>
        <w:t>’</w:t>
      </w:r>
      <w:r w:rsidRPr="00036097">
        <w:rPr>
          <w:rFonts w:eastAsia="Century Schoolbook"/>
        </w:rPr>
        <w:t>s</w:t>
      </w:r>
      <w:r w:rsidRPr="009F549F">
        <w:rPr>
          <w:rFonts w:eastAsia="Century Schoolbook"/>
        </w:rPr>
        <w:t xml:space="preserve"> exact scope and causes,</w:t>
      </w:r>
      <w:r w:rsidRPr="009F549F">
        <w:rPr>
          <w:rFonts w:eastAsia="Century Schoolbook"/>
          <w:vertAlign w:val="superscript"/>
        </w:rPr>
        <w:footnoteReference w:id="6"/>
      </w:r>
      <w:r w:rsidRPr="009F549F">
        <w:rPr>
          <w:rFonts w:eastAsia="Century Schoolbook"/>
        </w:rPr>
        <w:t xml:space="preserve"> there are powerful arguments that inequality results from current or historical unfairness or injustice,</w:t>
      </w:r>
      <w:bookmarkStart w:id="6" w:name="_Ref115336225"/>
      <w:r w:rsidRPr="009F549F">
        <w:rPr>
          <w:rFonts w:eastAsia="Century Schoolbook"/>
          <w:vertAlign w:val="superscript"/>
        </w:rPr>
        <w:footnoteReference w:id="7"/>
      </w:r>
      <w:bookmarkEnd w:id="6"/>
      <w:r w:rsidRPr="009F549F">
        <w:rPr>
          <w:rFonts w:eastAsia="Century Schoolbook"/>
        </w:rPr>
        <w:t xml:space="preserve"> harms our politics,</w:t>
      </w:r>
      <w:bookmarkStart w:id="7" w:name="_Ref115614993"/>
      <w:r w:rsidRPr="009F549F">
        <w:rPr>
          <w:rFonts w:eastAsia="Century Schoolbook"/>
          <w:vertAlign w:val="superscript"/>
        </w:rPr>
        <w:footnoteReference w:id="8"/>
      </w:r>
      <w:bookmarkEnd w:id="7"/>
      <w:r w:rsidRPr="009F549F">
        <w:rPr>
          <w:rFonts w:eastAsia="Century Schoolbook"/>
        </w:rPr>
        <w:t xml:space="preserve"> and </w:t>
      </w:r>
      <w:r w:rsidRPr="009F549F">
        <w:rPr>
          <w:rFonts w:eastAsia="Century Schoolbook"/>
        </w:rPr>
        <w:lastRenderedPageBreak/>
        <w:t>weakens the economy.</w:t>
      </w:r>
      <w:r w:rsidRPr="009F549F">
        <w:rPr>
          <w:rFonts w:eastAsia="Century Schoolbook"/>
          <w:vertAlign w:val="superscript"/>
        </w:rPr>
        <w:footnoteReference w:id="9"/>
      </w:r>
      <w:r w:rsidRPr="009F549F">
        <w:rPr>
          <w:rFonts w:eastAsia="Century Schoolbook"/>
        </w:rPr>
        <w:t xml:space="preserve">  Furthermore, because of the scope of current inequality, reducing it through taxation could raise a lot of needed revenue.</w:t>
      </w:r>
      <w:r w:rsidRPr="009F549F">
        <w:rPr>
          <w:rFonts w:eastAsia="Century Schoolbook"/>
          <w:vertAlign w:val="superscript"/>
        </w:rPr>
        <w:footnoteReference w:id="10"/>
      </w:r>
      <w:r w:rsidRPr="009F549F">
        <w:rPr>
          <w:rFonts w:eastAsia="Century Schoolbook"/>
        </w:rPr>
        <w:t xml:space="preserve"> </w:t>
      </w:r>
    </w:p>
    <w:p w14:paraId="611FA1FB" w14:textId="487CCC78" w:rsidR="007B1344" w:rsidRPr="009F549F" w:rsidRDefault="002347BA">
      <w:pPr>
        <w:spacing w:before="240" w:after="240"/>
        <w:jc w:val="both"/>
        <w:rPr>
          <w:rFonts w:eastAsia="Century Schoolbook"/>
        </w:rPr>
      </w:pPr>
      <w:r w:rsidRPr="009F549F">
        <w:rPr>
          <w:rFonts w:eastAsia="Century Schoolbook"/>
        </w:rPr>
        <w:t xml:space="preserve"> </w:t>
      </w:r>
      <w:r w:rsidRPr="009F549F">
        <w:rPr>
          <w:rFonts w:eastAsia="Century Schoolbook"/>
        </w:rPr>
        <w:tab/>
        <w:t>Tax policy has played a major role in increasing inequality and, properly implemented, can play a key role in reducing it.</w:t>
      </w:r>
      <w:r w:rsidRPr="009F549F">
        <w:rPr>
          <w:rFonts w:eastAsia="Century Schoolbook"/>
          <w:vertAlign w:val="superscript"/>
        </w:rPr>
        <w:footnoteReference w:id="11"/>
      </w:r>
      <w:r w:rsidRPr="009F549F">
        <w:rPr>
          <w:rFonts w:eastAsia="Century Schoolbook"/>
        </w:rPr>
        <w:t xml:space="preserve"> Yet it turns out that our current tax system is not up to that task</w:t>
      </w:r>
      <w:r w:rsidR="00AA1692">
        <w:rPr>
          <w:rFonts w:ascii="Century Schoolbook" w:eastAsia="Century Schoolbook" w:hAnsi="Century Schoolbook" w:cs="Century Schoolbook"/>
        </w:rPr>
        <w:t xml:space="preserve">. </w:t>
      </w:r>
      <w:r w:rsidRPr="009F549F">
        <w:rPr>
          <w:rFonts w:eastAsia="Century Schoolbook"/>
        </w:rPr>
        <w:t>Specifically, our tax system does a very poor job of taxing those who earn income through investments and hardly touches vast accumulations of wealth.</w:t>
      </w:r>
      <w:r w:rsidRPr="009F549F">
        <w:rPr>
          <w:rFonts w:eastAsia="Century Schoolbook"/>
          <w:vertAlign w:val="superscript"/>
        </w:rPr>
        <w:footnoteReference w:id="12"/>
      </w:r>
      <w:r w:rsidRPr="009F549F">
        <w:rPr>
          <w:rFonts w:eastAsia="Century Schoolbook"/>
        </w:rPr>
        <w:t xml:space="preserve"> This failure of our existing tax system to adequately reach wealth or investment income creates a host of problems, including harm to economic growth, harm to the administrability of the entire tax system, harms related to holding back historically disadvantaged groups of Americans, and the </w:t>
      </w:r>
      <w:r w:rsidRPr="009F549F">
        <w:rPr>
          <w:rFonts w:eastAsia="Century Schoolbook"/>
        </w:rPr>
        <w:lastRenderedPageBreak/>
        <w:t>more general but especially insidious harms of making our tax system ineffective at addressing the problems of rising inequality.</w:t>
      </w:r>
      <w:r w:rsidR="00E857B7" w:rsidRPr="009F549F">
        <w:rPr>
          <w:rStyle w:val="FootnoteReference"/>
          <w:rFonts w:eastAsia="Century Schoolbook"/>
        </w:rPr>
        <w:footnoteReference w:id="13"/>
      </w:r>
      <w:r w:rsidRPr="009F549F">
        <w:rPr>
          <w:rFonts w:eastAsia="Century Schoolbook"/>
        </w:rPr>
        <w:t xml:space="preserve"> </w:t>
      </w:r>
    </w:p>
    <w:p w14:paraId="15961332" w14:textId="155AF894" w:rsidR="007B1344" w:rsidRPr="009F549F" w:rsidRDefault="002347BA" w:rsidP="009F549F">
      <w:pPr>
        <w:ind w:firstLine="720"/>
        <w:rPr>
          <w:rFonts w:eastAsia="Century Schoolbook"/>
        </w:rPr>
      </w:pPr>
      <w:r w:rsidRPr="009F549F">
        <w:rPr>
          <w:rFonts w:eastAsia="Century Schoolbook"/>
        </w:rPr>
        <w:t>Yet even many of those who agree that inequality is a problem are skeptical of our ability to tax economic income or accumulated wealth.</w:t>
      </w:r>
      <w:bookmarkStart w:id="8" w:name="_Ref115615040"/>
      <w:r w:rsidRPr="009F549F">
        <w:rPr>
          <w:rFonts w:eastAsia="Century Schoolbook"/>
          <w:vertAlign w:val="superscript"/>
        </w:rPr>
        <w:footnoteReference w:id="14"/>
      </w:r>
      <w:bookmarkEnd w:id="8"/>
      <w:r w:rsidRPr="009F549F">
        <w:rPr>
          <w:rFonts w:eastAsia="Century Schoolbook"/>
        </w:rPr>
        <w:t xml:space="preserve"> </w:t>
      </w:r>
      <w:r w:rsidR="00040F44">
        <w:rPr>
          <w:rFonts w:eastAsia="Century Schoolbook"/>
        </w:rPr>
        <w:t>These</w:t>
      </w:r>
      <w:r w:rsidRPr="009F549F">
        <w:rPr>
          <w:rFonts w:eastAsia="Century Schoolbook"/>
        </w:rPr>
        <w:t xml:space="preserve"> skeptics</w:t>
      </w:r>
      <w:r w:rsidR="00040F44">
        <w:rPr>
          <w:rFonts w:eastAsia="Century Schoolbook"/>
        </w:rPr>
        <w:t xml:space="preserve"> often</w:t>
      </w:r>
      <w:r w:rsidRPr="009F549F">
        <w:rPr>
          <w:rFonts w:eastAsia="Century Schoolbook"/>
        </w:rPr>
        <w:t xml:space="preserve"> raise one </w:t>
      </w:r>
      <w:r w:rsidR="00795844" w:rsidRPr="00036097">
        <w:rPr>
          <w:rFonts w:eastAsia="Century Schoolbook"/>
        </w:rPr>
        <w:t xml:space="preserve">particular </w:t>
      </w:r>
      <w:r w:rsidRPr="009F549F">
        <w:rPr>
          <w:rFonts w:eastAsia="Century Schoolbook"/>
        </w:rPr>
        <w:t>concern: the difficulty of valuation.</w:t>
      </w:r>
      <w:r w:rsidRPr="009F549F">
        <w:rPr>
          <w:rFonts w:eastAsia="Century Schoolbook"/>
          <w:vertAlign w:val="superscript"/>
        </w:rPr>
        <w:footnoteReference w:id="15"/>
      </w:r>
      <w:r w:rsidRPr="009F549F">
        <w:rPr>
          <w:rFonts w:eastAsia="Century Schoolbook"/>
        </w:rPr>
        <w:t xml:space="preserve"> It seems like it should be simple to know how much a thing is worth. Modern securities markets track value by the nanosecond; websites instantly appraise our homes, cars, and collectibles.</w:t>
      </w:r>
      <w:r w:rsidR="00AA1692">
        <w:rPr>
          <w:rFonts w:ascii="Century Schoolbook" w:eastAsia="Century Schoolbook" w:hAnsi="Century Schoolbook" w:cs="Century Schoolbook"/>
        </w:rPr>
        <w:t xml:space="preserve"> </w:t>
      </w:r>
    </w:p>
    <w:p w14:paraId="396B260D" w14:textId="523F345A" w:rsidR="007B1344" w:rsidRDefault="002347BA">
      <w:pPr>
        <w:spacing w:before="240" w:after="240"/>
        <w:ind w:firstLine="720"/>
        <w:jc w:val="both"/>
        <w:rPr>
          <w:rFonts w:eastAsia="Century Schoolbook"/>
        </w:rPr>
      </w:pPr>
      <w:bookmarkStart w:id="9" w:name="_2et92p0" w:colFirst="0" w:colLast="0"/>
      <w:bookmarkEnd w:id="9"/>
      <w:r w:rsidRPr="009F549F">
        <w:rPr>
          <w:rFonts w:eastAsia="Century Schoolbook"/>
        </w:rPr>
        <w:t xml:space="preserve">The difficulty is that a modest but important portion of the wealth held by the world’s richest individuals </w:t>
      </w:r>
      <w:r w:rsidR="00D04719">
        <w:rPr>
          <w:rFonts w:eastAsia="Century Schoolbook"/>
        </w:rPr>
        <w:t>is</w:t>
      </w:r>
      <w:r w:rsidRPr="009F549F">
        <w:rPr>
          <w:rFonts w:eastAsia="Century Schoolbook"/>
        </w:rPr>
        <w:t xml:space="preserve"> not publicly</w:t>
      </w:r>
      <w:r w:rsidR="008D709C" w:rsidRPr="00036097">
        <w:rPr>
          <w:rFonts w:eastAsia="Century Schoolbook"/>
        </w:rPr>
        <w:t xml:space="preserve"> </w:t>
      </w:r>
      <w:r w:rsidRPr="009F549F">
        <w:rPr>
          <w:rFonts w:eastAsia="Century Schoolbook"/>
        </w:rPr>
        <w:t>traded securities or even expensive homes</w:t>
      </w:r>
      <w:r w:rsidR="00942262">
        <w:rPr>
          <w:rFonts w:eastAsia="Century Schoolbook"/>
        </w:rPr>
        <w:t>,</w:t>
      </w:r>
      <w:r w:rsidRPr="009F549F">
        <w:rPr>
          <w:rFonts w:eastAsia="Century Schoolbook"/>
        </w:rPr>
        <w:t xml:space="preserve"> but instead complex assets, such as intellectual property rights or stakes in private businesses.</w:t>
      </w:r>
      <w:r w:rsidRPr="009F549F">
        <w:rPr>
          <w:rFonts w:eastAsia="Century Schoolbook"/>
          <w:vertAlign w:val="superscript"/>
        </w:rPr>
        <w:footnoteReference w:id="16"/>
      </w:r>
      <w:r w:rsidRPr="009F549F">
        <w:rPr>
          <w:rFonts w:eastAsia="Century Schoolbook"/>
        </w:rPr>
        <w:t xml:space="preserve"> Far from being traded every nanosecond, many of these are </w:t>
      </w:r>
      <w:r w:rsidRPr="009F549F">
        <w:rPr>
          <w:rFonts w:eastAsia="Century Schoolbook"/>
        </w:rPr>
        <w:lastRenderedPageBreak/>
        <w:t xml:space="preserve">hardly ever sold at all. Zillow and other websites estimate valuations by examining sales of comparable properties, but the relatively unique nature of a business or an </w:t>
      </w:r>
      <w:r w:rsidR="00060BBF" w:rsidRPr="00036097">
        <w:rPr>
          <w:rFonts w:eastAsia="Century Schoolbook"/>
        </w:rPr>
        <w:t xml:space="preserve">intellectual property </w:t>
      </w:r>
      <w:r w:rsidRPr="009F549F">
        <w:rPr>
          <w:rFonts w:eastAsia="Century Schoolbook"/>
        </w:rPr>
        <w:t>right can make that challenging.</w:t>
      </w:r>
      <w:bookmarkStart w:id="10" w:name="_Ref115603759"/>
      <w:r w:rsidRPr="009F549F">
        <w:rPr>
          <w:rFonts w:eastAsia="Century Schoolbook"/>
          <w:vertAlign w:val="superscript"/>
        </w:rPr>
        <w:footnoteReference w:id="17"/>
      </w:r>
      <w:bookmarkEnd w:id="10"/>
      <w:r w:rsidRPr="009F549F">
        <w:rPr>
          <w:rFonts w:eastAsia="Century Schoolbook"/>
        </w:rPr>
        <w:t xml:space="preserve"> </w:t>
      </w:r>
    </w:p>
    <w:p w14:paraId="29DCC275" w14:textId="27674F84" w:rsidR="00040F44" w:rsidRPr="009F549F" w:rsidRDefault="00040F44">
      <w:pPr>
        <w:spacing w:before="240" w:after="240"/>
        <w:ind w:firstLine="720"/>
        <w:jc w:val="both"/>
        <w:rPr>
          <w:rFonts w:eastAsia="Century Schoolbook"/>
        </w:rPr>
      </w:pPr>
      <w:r>
        <w:rPr>
          <w:rFonts w:eastAsia="Century Schoolbook"/>
        </w:rPr>
        <w:t>At the same time, private businesses raise money all the time, suggesting that large investors must have reasonably reliable tools—tools trustworthy enough to warrant billion-dollar gambles—for valuing their stakes in these businesses</w:t>
      </w:r>
      <w:r w:rsidRPr="00C43C1B">
        <w:rPr>
          <w:rFonts w:eastAsia="Century Schoolbook"/>
        </w:rPr>
        <w:t>.</w:t>
      </w:r>
      <w:r w:rsidRPr="00C43C1B">
        <w:rPr>
          <w:rFonts w:eastAsia="Century Schoolbook"/>
          <w:vertAlign w:val="superscript"/>
        </w:rPr>
        <w:footnoteReference w:id="18"/>
      </w:r>
      <w:r w:rsidRPr="00C43C1B">
        <w:rPr>
          <w:rFonts w:eastAsia="Century Schoolbook"/>
        </w:rPr>
        <w:t xml:space="preserve"> </w:t>
      </w:r>
      <w:r>
        <w:rPr>
          <w:rFonts w:eastAsia="Century Schoolbook"/>
        </w:rPr>
        <w:t>G</w:t>
      </w:r>
      <w:r w:rsidRPr="00C43C1B">
        <w:rPr>
          <w:rFonts w:eastAsia="Century Schoolbook"/>
        </w:rPr>
        <w:t xml:space="preserve">iven the </w:t>
      </w:r>
      <w:commentRangeStart w:id="11"/>
      <w:commentRangeEnd w:id="11"/>
      <w:r w:rsidRPr="00C43C1B">
        <w:rPr>
          <w:rFonts w:eastAsia="Century Schoolbook"/>
        </w:rPr>
        <w:t xml:space="preserve">empirical evidence of valuations all around us, </w:t>
      </w:r>
      <w:r>
        <w:rPr>
          <w:rFonts w:eastAsia="Century Schoolbook"/>
        </w:rPr>
        <w:t xml:space="preserve">it is hard to believe </w:t>
      </w:r>
      <w:r w:rsidRPr="00C43C1B">
        <w:rPr>
          <w:rFonts w:eastAsia="Century Schoolbook"/>
        </w:rPr>
        <w:t xml:space="preserve">that the potential tax tools for dealing with rising inequality were all discovered in the </w:t>
      </w:r>
      <w:r>
        <w:rPr>
          <w:rFonts w:eastAsia="Century Schoolbook"/>
        </w:rPr>
        <w:t>twentieth</w:t>
      </w:r>
      <w:r w:rsidRPr="00C43C1B">
        <w:rPr>
          <w:rFonts w:eastAsia="Century Schoolbook"/>
        </w:rPr>
        <w:t xml:space="preserve"> century or before</w:t>
      </w:r>
      <w:r>
        <w:rPr>
          <w:rFonts w:eastAsia="Century Schoolbook"/>
        </w:rPr>
        <w:t>, especially since the urgency of taxing great wealth suggests that we might be willing to accept a moderately imperfect tool</w:t>
      </w:r>
      <w:r>
        <w:rPr>
          <w:rFonts w:ascii="Century Schoolbook" w:eastAsia="Century Schoolbook" w:hAnsi="Century Schoolbook" w:cs="Century Schoolbook"/>
        </w:rPr>
        <w:t>.</w:t>
      </w:r>
    </w:p>
    <w:p w14:paraId="5E9FA619" w14:textId="1C2332E2" w:rsidR="007B1344" w:rsidRPr="009F549F" w:rsidRDefault="002347BA">
      <w:pPr>
        <w:spacing w:before="240" w:after="240"/>
        <w:ind w:firstLine="720"/>
        <w:jc w:val="both"/>
        <w:rPr>
          <w:rFonts w:eastAsia="Century Schoolbook"/>
        </w:rPr>
      </w:pPr>
      <w:r w:rsidRPr="009F549F">
        <w:rPr>
          <w:rFonts w:eastAsia="Century Schoolbook"/>
        </w:rPr>
        <w:t>Existing efforts to overcome the valuation challenge have had catastrophic side</w:t>
      </w:r>
      <w:r w:rsidR="00D04719">
        <w:rPr>
          <w:rFonts w:eastAsia="Century Schoolbook"/>
        </w:rPr>
        <w:t xml:space="preserve"> </w:t>
      </w:r>
      <w:r w:rsidRPr="009F549F">
        <w:rPr>
          <w:rFonts w:eastAsia="Century Schoolbook"/>
        </w:rPr>
        <w:t xml:space="preserve">effects on economic inequality. Income tax systems’ answer to the valuation challenge has historically been a principle known as the realization rule, </w:t>
      </w:r>
      <w:r w:rsidR="00D04719">
        <w:rPr>
          <w:rFonts w:eastAsia="Century Schoolbook"/>
        </w:rPr>
        <w:t>which</w:t>
      </w:r>
      <w:r w:rsidRPr="009F549F">
        <w:rPr>
          <w:rFonts w:eastAsia="Century Schoolbook"/>
        </w:rPr>
        <w:t xml:space="preserve"> has </w:t>
      </w:r>
      <w:r w:rsidRPr="009F549F">
        <w:rPr>
          <w:rFonts w:eastAsia="Century Schoolbook"/>
        </w:rPr>
        <w:lastRenderedPageBreak/>
        <w:t xml:space="preserve">contributed dramatically to global inequality. Briefly, under a </w:t>
      </w:r>
      <w:proofErr w:type="gramStart"/>
      <w:r w:rsidRPr="009F549F">
        <w:rPr>
          <w:rFonts w:eastAsia="Century Schoolbook"/>
        </w:rPr>
        <w:t>realization regime taxpayers</w:t>
      </w:r>
      <w:proofErr w:type="gramEnd"/>
      <w:r w:rsidRPr="009F549F">
        <w:rPr>
          <w:rFonts w:eastAsia="Century Schoolbook"/>
        </w:rPr>
        <w:t xml:space="preserve"> include gains or losses in taxable income only when the taxpayer sells or otherwise disposes of an asset. Individuals who make most of their money through investments thus get to choose when to pay tax. In combination with other unfortunate U.S. rules, one of these options is “never.” The result is evident in recent news stories reporting that many of America’s wealthiest individuals, such as Jeff Bezos, have reported taxable incomes lower than those of the </w:t>
      </w:r>
      <w:r w:rsidR="00E21A27" w:rsidRPr="00036097">
        <w:rPr>
          <w:rFonts w:eastAsia="Century Schoolbook"/>
        </w:rPr>
        <w:t>Internal Revenue Service (“</w:t>
      </w:r>
      <w:r w:rsidRPr="009F549F">
        <w:rPr>
          <w:rFonts w:eastAsia="Century Schoolbook"/>
        </w:rPr>
        <w:t>IRS</w:t>
      </w:r>
      <w:r w:rsidR="00E21A27" w:rsidRPr="00036097">
        <w:rPr>
          <w:rFonts w:eastAsia="Century Schoolbook"/>
        </w:rPr>
        <w:t>”)</w:t>
      </w:r>
      <w:r w:rsidRPr="009F549F">
        <w:rPr>
          <w:rFonts w:eastAsia="Century Schoolbook"/>
        </w:rPr>
        <w:t xml:space="preserve"> agents who audit them.</w:t>
      </w:r>
      <w:bookmarkStart w:id="12" w:name="_Ref115957885"/>
      <w:r w:rsidRPr="009F549F">
        <w:rPr>
          <w:rFonts w:eastAsia="Century Schoolbook"/>
          <w:vertAlign w:val="superscript"/>
        </w:rPr>
        <w:footnoteReference w:id="19"/>
      </w:r>
      <w:bookmarkEnd w:id="12"/>
      <w:r w:rsidRPr="009F549F">
        <w:rPr>
          <w:rFonts w:eastAsia="Century Schoolbook"/>
        </w:rPr>
        <w:t xml:space="preserve"> The realization rule in turn drives many governments to impose low rates on “capital gains,” or investment earnings, with the obvious result that wealthy investors tend to pay lower rates than middle-class salary earners.</w:t>
      </w:r>
    </w:p>
    <w:p w14:paraId="2DB40412" w14:textId="55178714" w:rsidR="007B1344" w:rsidRPr="009F549F" w:rsidRDefault="002347BA">
      <w:pPr>
        <w:spacing w:before="240" w:after="240"/>
        <w:ind w:firstLine="720"/>
        <w:jc w:val="both"/>
        <w:rPr>
          <w:rFonts w:eastAsia="Century Schoolbook"/>
        </w:rPr>
      </w:pPr>
      <w:r w:rsidRPr="009F549F">
        <w:rPr>
          <w:rFonts w:eastAsia="Century Schoolbook"/>
        </w:rPr>
        <w:t>Valuation also stands in the way of many potential tax reforms. Critics of wealth taxes mostly claim that valuation problems make them impractical.</w:t>
      </w:r>
      <w:bookmarkStart w:id="13" w:name="_Ref115605004"/>
      <w:r w:rsidRPr="009F549F">
        <w:rPr>
          <w:rFonts w:eastAsia="Century Schoolbook"/>
          <w:vertAlign w:val="superscript"/>
        </w:rPr>
        <w:footnoteReference w:id="20"/>
      </w:r>
      <w:bookmarkEnd w:id="13"/>
      <w:r w:rsidRPr="009F549F">
        <w:rPr>
          <w:rFonts w:eastAsia="Century Schoolbook"/>
        </w:rPr>
        <w:t xml:space="preserve"> </w:t>
      </w:r>
      <w:r w:rsidRPr="009F549F">
        <w:rPr>
          <w:rFonts w:eastAsia="Century Schoolbook"/>
        </w:rPr>
        <w:lastRenderedPageBreak/>
        <w:t>Income</w:t>
      </w:r>
      <w:r w:rsidR="00060BBF" w:rsidRPr="00036097">
        <w:rPr>
          <w:rFonts w:eastAsia="Century Schoolbook"/>
        </w:rPr>
        <w:t xml:space="preserve"> </w:t>
      </w:r>
      <w:r w:rsidRPr="009F549F">
        <w:rPr>
          <w:rFonts w:eastAsia="Century Schoolbook"/>
        </w:rPr>
        <w:t>tax reforms to reduce or eliminate the realization rule for the ultrawealthy have encountered similar criticism.</w:t>
      </w:r>
      <w:r w:rsidRPr="009F549F">
        <w:rPr>
          <w:rFonts w:eastAsia="Century Schoolbook"/>
          <w:vertAlign w:val="superscript"/>
        </w:rPr>
        <w:footnoteReference w:id="21"/>
      </w:r>
      <w:r w:rsidRPr="009F549F">
        <w:rPr>
          <w:rFonts w:eastAsia="Century Schoolbook"/>
        </w:rPr>
        <w:t xml:space="preserve"> And many loopholes </w:t>
      </w:r>
      <w:r w:rsidR="00CE7FB1">
        <w:rPr>
          <w:rFonts w:eastAsia="Century Schoolbook"/>
        </w:rPr>
        <w:t>in</w:t>
      </w:r>
      <w:r w:rsidRPr="009F549F">
        <w:rPr>
          <w:rFonts w:eastAsia="Century Schoolbook"/>
        </w:rPr>
        <w:t xml:space="preserve"> the current U.S. income tax </w:t>
      </w:r>
      <w:r w:rsidR="00CE7FB1">
        <w:rPr>
          <w:rFonts w:eastAsia="Century Schoolbook"/>
        </w:rPr>
        <w:t xml:space="preserve">system </w:t>
      </w:r>
      <w:r w:rsidRPr="009F549F">
        <w:rPr>
          <w:rFonts w:eastAsia="Century Schoolbook"/>
        </w:rPr>
        <w:t>arise because lawmakers lack good solutions to valuing complex assets.</w:t>
      </w:r>
      <w:r w:rsidRPr="009F549F">
        <w:rPr>
          <w:rFonts w:eastAsia="Century Schoolbook"/>
          <w:vertAlign w:val="superscript"/>
        </w:rPr>
        <w:footnoteReference w:id="22"/>
      </w:r>
      <w:r w:rsidRPr="009F549F">
        <w:rPr>
          <w:rFonts w:eastAsia="Century Schoolbook"/>
        </w:rPr>
        <w:t xml:space="preserve"> </w:t>
      </w:r>
    </w:p>
    <w:p w14:paraId="15A3A227" w14:textId="2FBFA1E8" w:rsidR="005B24F7" w:rsidRDefault="002347BA">
      <w:pPr>
        <w:spacing w:before="240" w:after="240"/>
        <w:ind w:firstLine="720"/>
        <w:jc w:val="both"/>
        <w:rPr>
          <w:rFonts w:ascii="Century Schoolbook" w:eastAsia="Century Schoolbook" w:hAnsi="Century Schoolbook" w:cs="Century Schoolbook"/>
        </w:rPr>
      </w:pPr>
      <w:r w:rsidRPr="009F549F">
        <w:rPr>
          <w:rFonts w:eastAsia="Century Schoolbook"/>
        </w:rPr>
        <w:t xml:space="preserve">Although valuation is therefore a problem of systemic importance, its solutions can be relatively modest. If the goal is primarily to address inequality, the income and wealth we would like to tax more effectively is that of the very affluent. A solution that reaches these taxpayers, but not others, is </w:t>
      </w:r>
      <w:r w:rsidR="00D24591" w:rsidRPr="009F549F">
        <w:rPr>
          <w:rFonts w:eastAsia="Century Schoolbook"/>
        </w:rPr>
        <w:t xml:space="preserve">thus potentially </w:t>
      </w:r>
      <w:r w:rsidRPr="009F549F">
        <w:rPr>
          <w:rFonts w:eastAsia="Century Schoolbook"/>
        </w:rPr>
        <w:t xml:space="preserve">enough. Further, if the goal is specifically to tax hard-to-appraise but highly valuable private assets—a </w:t>
      </w:r>
      <w:r w:rsidR="005B24F7">
        <w:rPr>
          <w:rFonts w:ascii="Century Schoolbook" w:eastAsia="Century Schoolbook" w:hAnsi="Century Schoolbook" w:cs="Century Schoolbook"/>
        </w:rPr>
        <w:t xml:space="preserve">relatively </w:t>
      </w:r>
      <w:r w:rsidRPr="009F549F">
        <w:rPr>
          <w:rFonts w:eastAsia="Century Schoolbook"/>
        </w:rPr>
        <w:t>narrow problem—a</w:t>
      </w:r>
      <w:r>
        <w:rPr>
          <w:rFonts w:ascii="Century Schoolbook" w:eastAsia="Century Schoolbook" w:hAnsi="Century Schoolbook" w:cs="Century Schoolbook"/>
        </w:rPr>
        <w:t xml:space="preserve"> </w:t>
      </w:r>
      <w:r w:rsidR="005B24F7">
        <w:rPr>
          <w:rFonts w:ascii="Century Schoolbook" w:eastAsia="Century Schoolbook" w:hAnsi="Century Schoolbook" w:cs="Century Schoolbook"/>
        </w:rPr>
        <w:t>relatively</w:t>
      </w:r>
      <w:r w:rsidRPr="009F549F">
        <w:rPr>
          <w:rFonts w:eastAsia="Century Schoolbook"/>
        </w:rPr>
        <w:t xml:space="preserve"> narrow solution again may be all </w:t>
      </w:r>
      <w:r w:rsidRPr="00036097">
        <w:rPr>
          <w:rFonts w:eastAsia="Century Schoolbook"/>
        </w:rPr>
        <w:t>that</w:t>
      </w:r>
      <w:r w:rsidR="00596371" w:rsidRPr="00036097">
        <w:rPr>
          <w:rFonts w:eastAsia="Century Schoolbook"/>
        </w:rPr>
        <w:t xml:space="preserve"> i</w:t>
      </w:r>
      <w:r w:rsidRPr="00036097">
        <w:rPr>
          <w:rFonts w:eastAsia="Century Schoolbook"/>
        </w:rPr>
        <w:t>s</w:t>
      </w:r>
      <w:r w:rsidRPr="009F549F">
        <w:rPr>
          <w:rFonts w:eastAsia="Century Schoolbook"/>
        </w:rPr>
        <w:t xml:space="preserve"> needed. </w:t>
      </w:r>
    </w:p>
    <w:p w14:paraId="6E0CEB19" w14:textId="13A5FD56" w:rsidR="007B1344" w:rsidRPr="009F549F" w:rsidRDefault="002347BA" w:rsidP="00596371">
      <w:pPr>
        <w:spacing w:before="240" w:after="240"/>
        <w:ind w:firstLine="720"/>
        <w:jc w:val="both"/>
        <w:rPr>
          <w:rFonts w:eastAsia="Century Schoolbook"/>
        </w:rPr>
      </w:pPr>
      <w:r w:rsidRPr="009F549F">
        <w:rPr>
          <w:rFonts w:eastAsia="Century Schoolbook"/>
        </w:rPr>
        <w:t>Suppose a reform were adopted that taxed only the public assets of the very wealthy, based on the notion that reaching 80</w:t>
      </w:r>
      <w:r w:rsidR="0062564C" w:rsidRPr="00036097">
        <w:rPr>
          <w:rFonts w:eastAsia="Century Schoolbook"/>
        </w:rPr>
        <w:t xml:space="preserve"> percent</w:t>
      </w:r>
      <w:r w:rsidRPr="009F549F">
        <w:rPr>
          <w:rFonts w:eastAsia="Century Schoolbook"/>
        </w:rPr>
        <w:t xml:space="preserve"> of that potential tax base is good enough. Such a reform would create an incentive for the very wealthy to change from easily valued public assets to private assets, thus destabilizing the portion of the valuation problem that can be solved using current tools.</w:t>
      </w:r>
      <w:bookmarkStart w:id="14" w:name="_Ref115603676"/>
      <w:r w:rsidRPr="009F549F">
        <w:rPr>
          <w:rFonts w:eastAsia="Century Schoolbook"/>
          <w:vertAlign w:val="superscript"/>
        </w:rPr>
        <w:footnoteReference w:id="23"/>
      </w:r>
      <w:bookmarkEnd w:id="14"/>
      <w:r w:rsidRPr="009F549F">
        <w:rPr>
          <w:rFonts w:eastAsia="Century Schoolbook"/>
        </w:rPr>
        <w:t xml:space="preserve"> </w:t>
      </w:r>
      <w:r w:rsidRPr="00036097">
        <w:rPr>
          <w:rFonts w:eastAsia="Century Schoolbook"/>
        </w:rPr>
        <w:t>What</w:t>
      </w:r>
      <w:r w:rsidR="00596371" w:rsidRPr="00036097">
        <w:rPr>
          <w:rFonts w:eastAsia="Century Schoolbook"/>
        </w:rPr>
        <w:t xml:space="preserve"> i</w:t>
      </w:r>
      <w:r w:rsidRPr="00036097">
        <w:rPr>
          <w:rFonts w:eastAsia="Century Schoolbook"/>
        </w:rPr>
        <w:t>s</w:t>
      </w:r>
      <w:r w:rsidRPr="009F549F">
        <w:rPr>
          <w:rFonts w:eastAsia="Century Schoolbook"/>
        </w:rPr>
        <w:t xml:space="preserve"> needed to make the reform work is a valuation system that can reasonably reach a </w:t>
      </w:r>
      <w:r w:rsidRPr="009F549F">
        <w:rPr>
          <w:rFonts w:eastAsia="Century Schoolbook"/>
        </w:rPr>
        <w:lastRenderedPageBreak/>
        <w:t>sufficient portion of the difficult 20</w:t>
      </w:r>
      <w:r w:rsidR="00596371" w:rsidRPr="00036097">
        <w:rPr>
          <w:rFonts w:eastAsia="Century Schoolbook"/>
        </w:rPr>
        <w:t xml:space="preserve"> percent</w:t>
      </w:r>
      <w:r w:rsidRPr="009F549F">
        <w:rPr>
          <w:rFonts w:eastAsia="Century Schoolbook"/>
        </w:rPr>
        <w:t xml:space="preserve"> so that taxpayers </w:t>
      </w:r>
      <w:r w:rsidR="00D24591" w:rsidRPr="009F549F">
        <w:rPr>
          <w:rFonts w:eastAsia="Century Schoolbook"/>
        </w:rPr>
        <w:t xml:space="preserve">would </w:t>
      </w:r>
      <w:r w:rsidRPr="009F549F">
        <w:rPr>
          <w:rFonts w:eastAsia="Century Schoolbook"/>
        </w:rPr>
        <w:t xml:space="preserve">not have </w:t>
      </w:r>
      <w:r w:rsidR="00D24591" w:rsidRPr="009F549F">
        <w:rPr>
          <w:rFonts w:eastAsia="Century Schoolbook"/>
        </w:rPr>
        <w:t xml:space="preserve">problematic </w:t>
      </w:r>
      <w:r w:rsidRPr="009F549F">
        <w:rPr>
          <w:rFonts w:eastAsia="Century Schoolbook"/>
        </w:rPr>
        <w:t>incentives to shift assets out of the easier</w:t>
      </w:r>
      <w:r w:rsidR="00CE7FB1">
        <w:rPr>
          <w:rFonts w:eastAsia="Century Schoolbook"/>
        </w:rPr>
        <w:t>-</w:t>
      </w:r>
      <w:r w:rsidRPr="009F549F">
        <w:rPr>
          <w:rFonts w:eastAsia="Century Schoolbook"/>
        </w:rPr>
        <w:t>to</w:t>
      </w:r>
      <w:r w:rsidR="00CE7FB1">
        <w:rPr>
          <w:rFonts w:eastAsia="Century Schoolbook"/>
        </w:rPr>
        <w:t>-</w:t>
      </w:r>
      <w:r w:rsidRPr="009F549F">
        <w:rPr>
          <w:rFonts w:eastAsia="Century Schoolbook"/>
        </w:rPr>
        <w:t>value 80</w:t>
      </w:r>
      <w:r w:rsidR="00596371" w:rsidRPr="00036097">
        <w:rPr>
          <w:rFonts w:eastAsia="Century Schoolbook"/>
        </w:rPr>
        <w:t xml:space="preserve"> percent</w:t>
      </w:r>
      <w:r w:rsidRPr="009F549F">
        <w:rPr>
          <w:rFonts w:eastAsia="Century Schoolbook"/>
        </w:rPr>
        <w:t>.</w:t>
      </w:r>
    </w:p>
    <w:p w14:paraId="00A3FFA5" w14:textId="64BCF86F" w:rsidR="007B1344" w:rsidRPr="009F549F" w:rsidRDefault="002347BA">
      <w:pPr>
        <w:spacing w:before="240" w:after="240"/>
        <w:jc w:val="both"/>
        <w:rPr>
          <w:rFonts w:eastAsia="Century Schoolbook"/>
        </w:rPr>
      </w:pPr>
      <w:bookmarkStart w:id="15" w:name="_tyjcwt" w:colFirst="0" w:colLast="0"/>
      <w:bookmarkEnd w:id="15"/>
      <w:r w:rsidRPr="009F549F">
        <w:rPr>
          <w:rFonts w:eastAsia="Century Schoolbook"/>
        </w:rPr>
        <w:tab/>
        <w:t>This Article thus proposes a new solution to the valuation challenge posed by this particular narrow</w:t>
      </w:r>
      <w:r w:rsidR="00835C54" w:rsidRPr="00036097">
        <w:rPr>
          <w:rFonts w:eastAsia="Century Schoolbook"/>
        </w:rPr>
        <w:t>,</w:t>
      </w:r>
      <w:r w:rsidRPr="009F549F">
        <w:rPr>
          <w:rFonts w:eastAsia="Century Schoolbook"/>
        </w:rPr>
        <w:t xml:space="preserve"> but systemically important</w:t>
      </w:r>
      <w:r w:rsidR="00835C54" w:rsidRPr="00036097">
        <w:rPr>
          <w:rFonts w:eastAsia="Century Schoolbook"/>
        </w:rPr>
        <w:t>,</w:t>
      </w:r>
      <w:r w:rsidRPr="009F549F">
        <w:rPr>
          <w:rFonts w:eastAsia="Century Schoolbook"/>
        </w:rPr>
        <w:t xml:space="preserve"> scenario. Many existing approaches to valuation have some promise but also suffer from serious flaws that have made them untenable.</w:t>
      </w:r>
      <w:bookmarkStart w:id="16" w:name="_Ref115729376"/>
      <w:r w:rsidRPr="009F549F">
        <w:rPr>
          <w:rFonts w:eastAsia="Century Schoolbook"/>
          <w:vertAlign w:val="superscript"/>
        </w:rPr>
        <w:footnoteReference w:id="24"/>
      </w:r>
      <w:bookmarkEnd w:id="16"/>
      <w:r w:rsidRPr="009F549F">
        <w:rPr>
          <w:rFonts w:eastAsia="Century Schoolbook"/>
        </w:rPr>
        <w:t xml:space="preserve"> We show that by combining pieces of several of these approaches, the strengths of some can </w:t>
      </w:r>
      <w:r w:rsidR="004F27F2">
        <w:rPr>
          <w:rFonts w:eastAsia="Century Schoolbook"/>
        </w:rPr>
        <w:t>compensate</w:t>
      </w:r>
      <w:r w:rsidR="00267737" w:rsidRPr="009F549F">
        <w:rPr>
          <w:rFonts w:eastAsia="Century Schoolbook"/>
        </w:rPr>
        <w:t xml:space="preserve"> </w:t>
      </w:r>
      <w:r w:rsidRPr="009F549F">
        <w:rPr>
          <w:rFonts w:eastAsia="Century Schoolbook"/>
        </w:rPr>
        <w:t>for the flaws of others.</w:t>
      </w:r>
    </w:p>
    <w:p w14:paraId="2E92FD3D" w14:textId="4A0AD189" w:rsidR="007B1344" w:rsidRPr="009F549F" w:rsidRDefault="002347BA">
      <w:pPr>
        <w:spacing w:before="240" w:after="240"/>
        <w:ind w:firstLine="720"/>
        <w:jc w:val="both"/>
        <w:rPr>
          <w:rFonts w:eastAsia="Century Schoolbook"/>
        </w:rPr>
      </w:pPr>
      <w:r w:rsidRPr="009F549F">
        <w:rPr>
          <w:rFonts w:eastAsia="Century Schoolbook"/>
        </w:rPr>
        <w:t xml:space="preserve">Our new hybrid solution is what we call the </w:t>
      </w:r>
      <w:r w:rsidR="00DB2858">
        <w:rPr>
          <w:rFonts w:eastAsia="Century Schoolbook"/>
        </w:rPr>
        <w:t>u</w:t>
      </w:r>
      <w:r w:rsidRPr="00036097">
        <w:rPr>
          <w:rFonts w:eastAsia="Century Schoolbook"/>
        </w:rPr>
        <w:t xml:space="preserve">nliquidated </w:t>
      </w:r>
      <w:r w:rsidR="00DB2858">
        <w:rPr>
          <w:rFonts w:eastAsia="Century Schoolbook"/>
        </w:rPr>
        <w:t>t</w:t>
      </w:r>
      <w:r w:rsidRPr="00036097">
        <w:rPr>
          <w:rFonts w:eastAsia="Century Schoolbook"/>
        </w:rPr>
        <w:t xml:space="preserve">ax </w:t>
      </w:r>
      <w:r w:rsidR="00DB2858">
        <w:rPr>
          <w:rFonts w:eastAsia="Century Schoolbook"/>
        </w:rPr>
        <w:t>r</w:t>
      </w:r>
      <w:r w:rsidRPr="00036097">
        <w:rPr>
          <w:rFonts w:eastAsia="Century Schoolbook"/>
        </w:rPr>
        <w:t xml:space="preserve">eserve </w:t>
      </w:r>
      <w:r w:rsidR="00DB2858">
        <w:rPr>
          <w:rFonts w:eastAsia="Century Schoolbook"/>
        </w:rPr>
        <w:t>a</w:t>
      </w:r>
      <w:r w:rsidRPr="009F549F">
        <w:rPr>
          <w:rFonts w:eastAsia="Century Schoolbook"/>
        </w:rPr>
        <w:t xml:space="preserve">ccount, or “ULTRA.” In essence, an ULTRA is a notional equity interest. That is, it is a slice of the value of some underlying asset </w:t>
      </w:r>
      <w:r w:rsidR="00DB2858">
        <w:rPr>
          <w:rFonts w:eastAsia="Century Schoolbook"/>
        </w:rPr>
        <w:t>that</w:t>
      </w:r>
      <w:r w:rsidR="00DB2858" w:rsidRPr="00036097">
        <w:rPr>
          <w:rFonts w:eastAsia="Century Schoolbook"/>
        </w:rPr>
        <w:t xml:space="preserve"> </w:t>
      </w:r>
      <w:r w:rsidRPr="009F549F">
        <w:rPr>
          <w:rFonts w:eastAsia="Century Schoolbook"/>
        </w:rPr>
        <w:t xml:space="preserve">the government will claim when the asset is sold. That is the equity component. The interest is “notional” in the sense that the government does not exercise any traditional legal rights of ownership, such as voting for the directors of a business, and cannot invoke the legal protections usually afforded to minority property owners. In circumstances </w:t>
      </w:r>
      <w:proofErr w:type="gramStart"/>
      <w:r w:rsidRPr="009F549F">
        <w:rPr>
          <w:rFonts w:eastAsia="Century Schoolbook"/>
        </w:rPr>
        <w:t>where</w:t>
      </w:r>
      <w:r w:rsidR="00942262">
        <w:rPr>
          <w:rFonts w:eastAsia="Century Schoolbook"/>
        </w:rPr>
        <w:t>in</w:t>
      </w:r>
      <w:proofErr w:type="gramEnd"/>
      <w:r w:rsidRPr="009F549F">
        <w:rPr>
          <w:rFonts w:eastAsia="Century Schoolbook"/>
        </w:rPr>
        <w:t xml:space="preserve"> taxing authorities would like to tax an asset today but </w:t>
      </w:r>
      <w:r w:rsidRPr="00036097">
        <w:rPr>
          <w:rFonts w:eastAsia="Century Schoolbook"/>
        </w:rPr>
        <w:t>can</w:t>
      </w:r>
      <w:r w:rsidR="00382E79" w:rsidRPr="00036097">
        <w:rPr>
          <w:rFonts w:eastAsia="Century Schoolbook"/>
        </w:rPr>
        <w:t>no</w:t>
      </w:r>
      <w:r w:rsidRPr="00036097">
        <w:rPr>
          <w:rFonts w:eastAsia="Century Schoolbook"/>
        </w:rPr>
        <w:t xml:space="preserve">t </w:t>
      </w:r>
      <w:r w:rsidRPr="009F549F">
        <w:rPr>
          <w:rFonts w:eastAsia="Century Schoolbook"/>
        </w:rPr>
        <w:t>because its value is uncertain, the taxpayer pays with an ULTRA rather than cash.</w:t>
      </w:r>
    </w:p>
    <w:p w14:paraId="5809CBA6" w14:textId="32388D24" w:rsidR="007B1344" w:rsidRPr="009F549F" w:rsidRDefault="002347BA">
      <w:pPr>
        <w:spacing w:before="240" w:after="240"/>
        <w:ind w:firstLine="720"/>
        <w:jc w:val="both"/>
        <w:rPr>
          <w:rFonts w:eastAsia="Century Schoolbook"/>
        </w:rPr>
      </w:pPr>
      <w:r w:rsidRPr="009F549F">
        <w:rPr>
          <w:rFonts w:eastAsia="Century Schoolbook"/>
        </w:rPr>
        <w:t xml:space="preserve">Put in those terms, the ULTRA sounds a lot like a simple IOU, but </w:t>
      </w:r>
      <w:r w:rsidR="00BF0D8F" w:rsidRPr="00036097">
        <w:rPr>
          <w:rFonts w:eastAsia="Century Schoolbook"/>
        </w:rPr>
        <w:t xml:space="preserve">it </w:t>
      </w:r>
      <w:r w:rsidRPr="009F549F">
        <w:rPr>
          <w:rFonts w:eastAsia="Century Schoolbook"/>
        </w:rPr>
        <w:t>offers a crucial advantage over standard deferred payment mechanisms. Many tax systems use these deferral mechanisms, and they suffer from a common problem: they strongly encourage taxpayers to delay sale of the taxed property.</w:t>
      </w:r>
      <w:r w:rsidRPr="009F549F">
        <w:rPr>
          <w:rFonts w:eastAsia="Century Schoolbook"/>
          <w:vertAlign w:val="superscript"/>
        </w:rPr>
        <w:footnoteReference w:id="25"/>
      </w:r>
      <w:r w:rsidRPr="009F549F">
        <w:rPr>
          <w:rFonts w:eastAsia="Century Schoolbook"/>
        </w:rPr>
        <w:t xml:space="preserve"> For example, the City of Chicago allows homeowners to delay paying their property taxes until the property is sold (or, in some cases, until the owner dies</w:t>
      </w:r>
      <w:r w:rsidR="00BF0D8F" w:rsidRPr="00036097">
        <w:rPr>
          <w:rFonts w:eastAsia="Century Schoolbook"/>
        </w:rPr>
        <w:t xml:space="preserve">, </w:t>
      </w:r>
      <w:r w:rsidRPr="009F549F">
        <w:rPr>
          <w:rFonts w:eastAsia="Century Schoolbook"/>
        </w:rPr>
        <w:t>an option that is harder to delay).</w:t>
      </w:r>
      <w:r w:rsidRPr="009F549F">
        <w:rPr>
          <w:rFonts w:eastAsia="Century Schoolbook"/>
          <w:vertAlign w:val="superscript"/>
        </w:rPr>
        <w:footnoteReference w:id="26"/>
      </w:r>
      <w:r w:rsidRPr="009F549F">
        <w:rPr>
          <w:rFonts w:eastAsia="Century Schoolbook"/>
        </w:rPr>
        <w:t xml:space="preserve"> This encourages </w:t>
      </w:r>
      <w:r w:rsidR="00446E30">
        <w:rPr>
          <w:rFonts w:eastAsia="Century Schoolbook"/>
        </w:rPr>
        <w:t>home</w:t>
      </w:r>
      <w:r w:rsidRPr="009F549F">
        <w:rPr>
          <w:rFonts w:eastAsia="Century Schoolbook"/>
        </w:rPr>
        <w:t>owner</w:t>
      </w:r>
      <w:r w:rsidR="00446E30">
        <w:rPr>
          <w:rFonts w:eastAsia="Century Schoolbook"/>
        </w:rPr>
        <w:t>s</w:t>
      </w:r>
      <w:r w:rsidRPr="009F549F">
        <w:rPr>
          <w:rFonts w:eastAsia="Century Schoolbook"/>
        </w:rPr>
        <w:t xml:space="preserve"> to defer sale because every day that </w:t>
      </w:r>
      <w:r w:rsidR="00DB2858">
        <w:rPr>
          <w:rFonts w:eastAsia="Century Schoolbook"/>
        </w:rPr>
        <w:t>they</w:t>
      </w:r>
      <w:r w:rsidR="00DB2858" w:rsidRPr="00036097">
        <w:rPr>
          <w:rFonts w:eastAsia="Century Schoolbook"/>
        </w:rPr>
        <w:t xml:space="preserve"> </w:t>
      </w:r>
      <w:r w:rsidRPr="009F549F">
        <w:rPr>
          <w:rFonts w:eastAsia="Century Schoolbook"/>
        </w:rPr>
        <w:t xml:space="preserve">delay is a day in which the money </w:t>
      </w:r>
      <w:r w:rsidR="00050C20">
        <w:rPr>
          <w:rFonts w:eastAsia="Century Schoolbook"/>
        </w:rPr>
        <w:t>they</w:t>
      </w:r>
      <w:r w:rsidR="00050C20" w:rsidRPr="00036097">
        <w:rPr>
          <w:rFonts w:eastAsia="Century Schoolbook"/>
        </w:rPr>
        <w:t xml:space="preserve"> </w:t>
      </w:r>
      <w:r w:rsidRPr="009F549F">
        <w:rPr>
          <w:rFonts w:eastAsia="Century Schoolbook"/>
        </w:rPr>
        <w:t xml:space="preserve">would have paid the government instead </w:t>
      </w:r>
      <w:r w:rsidRPr="009F549F">
        <w:rPr>
          <w:rFonts w:eastAsia="Century Schoolbook"/>
        </w:rPr>
        <w:lastRenderedPageBreak/>
        <w:t>can be invested. Even if the government charges interest, taxpayers who expect their investment to earn more than the standard interest charge will come out ahead by waiting.</w:t>
      </w:r>
      <w:r w:rsidRPr="009F549F">
        <w:rPr>
          <w:rFonts w:eastAsia="Century Schoolbook"/>
          <w:vertAlign w:val="superscript"/>
        </w:rPr>
        <w:footnoteReference w:id="27"/>
      </w:r>
      <w:r w:rsidRPr="009F549F">
        <w:rPr>
          <w:rFonts w:eastAsia="Century Schoolbook"/>
        </w:rPr>
        <w:t xml:space="preserve"> Usually, </w:t>
      </w:r>
      <w:r w:rsidRPr="00036097">
        <w:rPr>
          <w:rFonts w:eastAsia="Century Schoolbook"/>
        </w:rPr>
        <w:t>it</w:t>
      </w:r>
      <w:r w:rsidR="00A6558A" w:rsidRPr="00036097">
        <w:rPr>
          <w:rFonts w:eastAsia="Century Schoolbook"/>
        </w:rPr>
        <w:t xml:space="preserve"> i</w:t>
      </w:r>
      <w:r w:rsidRPr="00036097">
        <w:rPr>
          <w:rFonts w:eastAsia="Century Schoolbook"/>
        </w:rPr>
        <w:t>s</w:t>
      </w:r>
      <w:r w:rsidRPr="009F549F">
        <w:rPr>
          <w:rFonts w:eastAsia="Century Schoolbook"/>
        </w:rPr>
        <w:t xml:space="preserve"> the richest taxpayers who benefit the most from such waiting</w:t>
      </w:r>
      <w:r w:rsidR="00A6558A" w:rsidRPr="00036097">
        <w:rPr>
          <w:rFonts w:eastAsia="Century Schoolbook"/>
        </w:rPr>
        <w:t xml:space="preserve"> because </w:t>
      </w:r>
      <w:r w:rsidRPr="009F549F">
        <w:rPr>
          <w:rFonts w:eastAsia="Century Schoolbook"/>
        </w:rPr>
        <w:t xml:space="preserve">part of what makes them rich is that their investments earn more than the average. </w:t>
      </w:r>
    </w:p>
    <w:p w14:paraId="0AD69761" w14:textId="2E6EB00F" w:rsidR="007B1344" w:rsidRPr="009F549F" w:rsidRDefault="002347BA">
      <w:pPr>
        <w:spacing w:before="240" w:after="240"/>
        <w:ind w:firstLine="720"/>
        <w:jc w:val="both"/>
        <w:rPr>
          <w:rFonts w:eastAsia="Century Schoolbook"/>
        </w:rPr>
      </w:pPr>
      <w:r w:rsidRPr="009F549F">
        <w:rPr>
          <w:rFonts w:eastAsia="Century Schoolbook"/>
        </w:rPr>
        <w:t>The ULTRA eliminates these taxpayer advantages of deferral. The way an ULTRA works is that the government gets a percentage stake in a taxed asset: if there is a 10</w:t>
      </w:r>
      <w:r w:rsidR="00376A8D" w:rsidRPr="00036097">
        <w:rPr>
          <w:rFonts w:eastAsia="Century Schoolbook"/>
        </w:rPr>
        <w:t xml:space="preserve"> percent</w:t>
      </w:r>
      <w:r w:rsidRPr="009F549F">
        <w:rPr>
          <w:rFonts w:eastAsia="Century Schoolbook"/>
        </w:rPr>
        <w:t xml:space="preserve"> tax rate, the government claims a 10</w:t>
      </w:r>
      <w:r w:rsidR="00376A8D" w:rsidRPr="00036097">
        <w:rPr>
          <w:rFonts w:eastAsia="Century Schoolbook"/>
        </w:rPr>
        <w:t xml:space="preserve"> pe</w:t>
      </w:r>
      <w:r w:rsidR="00B952D9" w:rsidRPr="00036097">
        <w:rPr>
          <w:rFonts w:eastAsia="Century Schoolbook"/>
        </w:rPr>
        <w:t>r</w:t>
      </w:r>
      <w:r w:rsidR="00376A8D" w:rsidRPr="00036097">
        <w:rPr>
          <w:rFonts w:eastAsia="Century Schoolbook"/>
        </w:rPr>
        <w:t>cent</w:t>
      </w:r>
      <w:r w:rsidRPr="009F549F">
        <w:rPr>
          <w:rFonts w:eastAsia="Century Schoolbook"/>
        </w:rPr>
        <w:t xml:space="preserve"> notional equity interest in the asset (we offer a quick example in the margin).</w:t>
      </w:r>
      <w:r w:rsidRPr="009F549F">
        <w:rPr>
          <w:rFonts w:eastAsia="Century Schoolbook"/>
          <w:vertAlign w:val="superscript"/>
        </w:rPr>
        <w:footnoteReference w:id="28"/>
      </w:r>
      <w:r w:rsidRPr="009F549F">
        <w:rPr>
          <w:rFonts w:eastAsia="Century Schoolbook"/>
        </w:rPr>
        <w:t xml:space="preserve"> Since the government owns a slice of the taxed asset’s value, when the asset goes up in value, so does the amount of tax payment the government ultimately receives. More technically, as we will explain, the government effectively charges the taxpayer an interest rate equal to the taxpayer’s own internal rate of return on that asset. </w:t>
      </w:r>
      <w:proofErr w:type="gramStart"/>
      <w:r w:rsidRPr="009F549F">
        <w:rPr>
          <w:rFonts w:eastAsia="Century Schoolbook"/>
        </w:rPr>
        <w:t>So</w:t>
      </w:r>
      <w:proofErr w:type="gramEnd"/>
      <w:r w:rsidRPr="009F549F">
        <w:rPr>
          <w:rFonts w:eastAsia="Century Schoolbook"/>
        </w:rPr>
        <w:t xml:space="preserve"> if a taxpayer takes the money they saved from delaying a tax payment and reinvests </w:t>
      </w:r>
      <w:r w:rsidR="00965A5C">
        <w:rPr>
          <w:rFonts w:eastAsia="Century Schoolbook"/>
        </w:rPr>
        <w:t>it</w:t>
      </w:r>
      <w:r w:rsidRPr="00036097">
        <w:rPr>
          <w:rFonts w:eastAsia="Century Schoolbook"/>
        </w:rPr>
        <w:t xml:space="preserve"> </w:t>
      </w:r>
      <w:r w:rsidRPr="009F549F">
        <w:rPr>
          <w:rFonts w:eastAsia="Century Schoolbook"/>
        </w:rPr>
        <w:lastRenderedPageBreak/>
        <w:t xml:space="preserve">in their business or other property, the government gets a slice of that reinvested money too. </w:t>
      </w:r>
    </w:p>
    <w:p w14:paraId="657A2DF7" w14:textId="6BFEBC49" w:rsidR="007B1344" w:rsidRPr="009F549F" w:rsidRDefault="002347BA">
      <w:pPr>
        <w:spacing w:before="240" w:after="240"/>
        <w:ind w:firstLine="720"/>
        <w:jc w:val="both"/>
        <w:rPr>
          <w:rFonts w:eastAsia="Century Schoolbook"/>
        </w:rPr>
      </w:pPr>
      <w:bookmarkStart w:id="17" w:name="_3dy6vkm" w:colFirst="0" w:colLast="0"/>
      <w:bookmarkEnd w:id="17"/>
      <w:r w:rsidRPr="009F549F">
        <w:rPr>
          <w:rFonts w:eastAsia="Century Schoolbook"/>
        </w:rPr>
        <w:t xml:space="preserve"> The ULTRA also resembles </w:t>
      </w:r>
      <w:r w:rsidR="004F27F2">
        <w:rPr>
          <w:rFonts w:eastAsia="Century Schoolbook"/>
        </w:rPr>
        <w:t xml:space="preserve">what's </w:t>
      </w:r>
      <w:r w:rsidRPr="009F549F">
        <w:rPr>
          <w:rFonts w:eastAsia="Century Schoolbook"/>
        </w:rPr>
        <w:t>sometimes called “in-kind” tax payments. An in-kind payment, of course, is just a payment in some property other than cash. Some commentary, such as a thoughtful recent article by Jeremy Bearer-Friend, notes that in-kind payments can help to solve the valuation problem.</w:t>
      </w:r>
      <w:bookmarkStart w:id="18" w:name="_Ref115729452"/>
      <w:r w:rsidRPr="009F549F">
        <w:rPr>
          <w:rFonts w:eastAsia="Century Schoolbook"/>
          <w:vertAlign w:val="superscript"/>
        </w:rPr>
        <w:footnoteReference w:id="29"/>
      </w:r>
      <w:bookmarkEnd w:id="18"/>
      <w:r w:rsidRPr="009F549F">
        <w:rPr>
          <w:rFonts w:eastAsia="Century Schoolbook"/>
        </w:rPr>
        <w:t xml:space="preserve"> If a taxpayer can pay a 10</w:t>
      </w:r>
      <w:r w:rsidR="00D95DAD" w:rsidRPr="00036097">
        <w:rPr>
          <w:rFonts w:eastAsia="Century Schoolbook"/>
        </w:rPr>
        <w:t xml:space="preserve"> percent</w:t>
      </w:r>
      <w:r w:rsidRPr="009F549F">
        <w:rPr>
          <w:rFonts w:eastAsia="Century Schoolbook"/>
        </w:rPr>
        <w:t xml:space="preserve"> tax by just giving the government 10</w:t>
      </w:r>
      <w:r w:rsidR="00D95DAD" w:rsidRPr="00036097">
        <w:rPr>
          <w:rFonts w:eastAsia="Century Schoolbook"/>
        </w:rPr>
        <w:t xml:space="preserve"> percent</w:t>
      </w:r>
      <w:r w:rsidRPr="009F549F">
        <w:rPr>
          <w:rFonts w:eastAsia="Century Schoolbook"/>
        </w:rPr>
        <w:t xml:space="preserve"> of the stock of her family business, </w:t>
      </w:r>
      <w:proofErr w:type="gramStart"/>
      <w:r w:rsidRPr="009F549F">
        <w:rPr>
          <w:rFonts w:eastAsia="Century Schoolbook"/>
        </w:rPr>
        <w:t xml:space="preserve">we  </w:t>
      </w:r>
      <w:r w:rsidR="009F6AFE">
        <w:rPr>
          <w:rFonts w:eastAsia="Century Schoolbook"/>
        </w:rPr>
        <w:t>don't</w:t>
      </w:r>
      <w:proofErr w:type="gramEnd"/>
      <w:r w:rsidR="009F6AFE">
        <w:rPr>
          <w:rFonts w:eastAsia="Century Schoolbook"/>
        </w:rPr>
        <w:t xml:space="preserve"> </w:t>
      </w:r>
      <w:r w:rsidRPr="009F549F">
        <w:rPr>
          <w:rFonts w:eastAsia="Century Schoolbook"/>
        </w:rPr>
        <w:t xml:space="preserve">have to figure out how much each of the shares of stock is worth. </w:t>
      </w:r>
    </w:p>
    <w:p w14:paraId="1B4252BF" w14:textId="002D0442" w:rsidR="007B1344" w:rsidRPr="009F549F" w:rsidRDefault="002347BA">
      <w:pPr>
        <w:spacing w:before="240" w:after="240"/>
        <w:ind w:firstLine="720"/>
        <w:jc w:val="both"/>
        <w:rPr>
          <w:rFonts w:eastAsia="Century Schoolbook"/>
        </w:rPr>
      </w:pPr>
      <w:bookmarkStart w:id="19" w:name="_1t3h5sf" w:colFirst="0" w:colLast="0"/>
      <w:bookmarkEnd w:id="19"/>
      <w:r w:rsidRPr="009F549F">
        <w:rPr>
          <w:rFonts w:eastAsia="Century Schoolbook"/>
        </w:rPr>
        <w:t>ULTRAs have some key advantages over true in-kind payments though.</w:t>
      </w:r>
      <w:r w:rsidRPr="009F549F">
        <w:rPr>
          <w:rFonts w:eastAsia="Century Schoolbook"/>
          <w:vertAlign w:val="superscript"/>
        </w:rPr>
        <w:footnoteReference w:id="30"/>
      </w:r>
      <w:r w:rsidRPr="009F549F">
        <w:rPr>
          <w:rFonts w:eastAsia="Century Schoolbook"/>
        </w:rPr>
        <w:t xml:space="preserve"> For one, since they are only notional interests, they </w:t>
      </w:r>
      <w:r w:rsidR="009F6AFE">
        <w:rPr>
          <w:rFonts w:ascii="Century Schoolbook" w:eastAsia="Century Schoolbook" w:hAnsi="Century Schoolbook" w:cs="Century Schoolbook"/>
        </w:rPr>
        <w:t>don't</w:t>
      </w:r>
      <w:r w:rsidRPr="009F549F">
        <w:rPr>
          <w:rFonts w:eastAsia="Century Schoolbook"/>
        </w:rPr>
        <w:t xml:space="preserve"> raise any of the traditional dangers of state ownership of private enterprise, such as corruption. They leave management of private businesses in the hands of private entrepreneurs, who are likely to have the superior information and incentives needed to maximize firm value (subject to appropriate government regulation, of course). And they avoid the tricky legal complications that would arise from efforts to divide or assign minority interests in otherwise undivided assets. Lastly, </w:t>
      </w:r>
      <w:r w:rsidR="00EC1956" w:rsidRPr="00036097">
        <w:rPr>
          <w:rFonts w:eastAsia="Century Schoolbook"/>
        </w:rPr>
        <w:t>because</w:t>
      </w:r>
      <w:r w:rsidR="00EC1956" w:rsidRPr="009F549F">
        <w:rPr>
          <w:rFonts w:eastAsia="Century Schoolbook"/>
        </w:rPr>
        <w:t xml:space="preserve"> </w:t>
      </w:r>
      <w:r w:rsidRPr="009F549F">
        <w:rPr>
          <w:rFonts w:eastAsia="Century Schoolbook"/>
        </w:rPr>
        <w:t xml:space="preserve">they are notional, ULTRAs are not limited to holding positive values. Government </w:t>
      </w:r>
      <w:r w:rsidRPr="00036097">
        <w:rPr>
          <w:rFonts w:eastAsia="Century Schoolbook"/>
        </w:rPr>
        <w:t>can</w:t>
      </w:r>
      <w:r w:rsidR="00EC1956" w:rsidRPr="00036097">
        <w:rPr>
          <w:rFonts w:eastAsia="Century Schoolbook"/>
        </w:rPr>
        <w:t>no</w:t>
      </w:r>
      <w:r w:rsidRPr="00036097">
        <w:rPr>
          <w:rFonts w:eastAsia="Century Schoolbook"/>
        </w:rPr>
        <w:t>t</w:t>
      </w:r>
      <w:r w:rsidRPr="009F549F">
        <w:rPr>
          <w:rFonts w:eastAsia="Century Schoolbook"/>
        </w:rPr>
        <w:t xml:space="preserve"> give a small business owner more than 100</w:t>
      </w:r>
      <w:r w:rsidR="00C50F98" w:rsidRPr="00036097">
        <w:rPr>
          <w:rFonts w:eastAsia="Century Schoolbook"/>
        </w:rPr>
        <w:t xml:space="preserve"> percent</w:t>
      </w:r>
      <w:r w:rsidRPr="009F549F">
        <w:rPr>
          <w:rFonts w:eastAsia="Century Schoolbook"/>
        </w:rPr>
        <w:t xml:space="preserve"> ownership of her business, but it can issue an ULTRA that results in a tax refund, a flexibility that is very useful in some cases</w:t>
      </w:r>
      <w:r w:rsidR="00AA1692">
        <w:rPr>
          <w:rFonts w:ascii="Century Schoolbook" w:eastAsia="Century Schoolbook" w:hAnsi="Century Schoolbook" w:cs="Century Schoolbook"/>
        </w:rPr>
        <w:t xml:space="preserve">. </w:t>
      </w:r>
      <w:r w:rsidRPr="009F549F">
        <w:rPr>
          <w:rFonts w:eastAsia="Century Schoolbook"/>
        </w:rPr>
        <w:t xml:space="preserve"> </w:t>
      </w:r>
    </w:p>
    <w:p w14:paraId="5A6D2015" w14:textId="70782FD1" w:rsidR="007B1344" w:rsidRPr="009F549F" w:rsidRDefault="002347BA">
      <w:pPr>
        <w:spacing w:before="240" w:after="240"/>
        <w:jc w:val="both"/>
        <w:rPr>
          <w:rFonts w:eastAsia="Century Schoolbook"/>
        </w:rPr>
      </w:pPr>
      <w:bookmarkStart w:id="20" w:name="_4d34og8" w:colFirst="0" w:colLast="0"/>
      <w:bookmarkEnd w:id="20"/>
      <w:r w:rsidRPr="009F549F">
        <w:rPr>
          <w:rFonts w:eastAsia="Century Schoolbook"/>
        </w:rPr>
        <w:tab/>
        <w:t xml:space="preserve">After laying out the details and advantages of ULTRAs, we will then turn to explaining how they can be used to reform modern tax systems. With an effective valuation system, governments could disregard the realization rule and instead tax on a “mark-to-market” basis, eliminating wealthy </w:t>
      </w:r>
      <w:r w:rsidR="00D14E9D">
        <w:rPr>
          <w:rFonts w:eastAsia="Century Schoolbook"/>
        </w:rPr>
        <w:t>U.S.</w:t>
      </w:r>
      <w:r w:rsidR="00D14E9D" w:rsidRPr="00036097">
        <w:rPr>
          <w:rFonts w:eastAsia="Century Schoolbook"/>
        </w:rPr>
        <w:t xml:space="preserve"> </w:t>
      </w:r>
      <w:r w:rsidRPr="009F549F">
        <w:rPr>
          <w:rFonts w:eastAsia="Century Schoolbook"/>
        </w:rPr>
        <w:t xml:space="preserve">investors’ option to never pay income tax. Alternately, governments could impose an annual tax on wealth, which would resemble mark-to-market income taxation but with some important differences and potentially offering some administrative simplifications. Indeed, the three of us are also the </w:t>
      </w:r>
      <w:proofErr w:type="spellStart"/>
      <w:r w:rsidRPr="009F549F">
        <w:rPr>
          <w:rFonts w:eastAsia="Century Schoolbook"/>
        </w:rPr>
        <w:t>codrafters</w:t>
      </w:r>
      <w:proofErr w:type="spellEnd"/>
      <w:r w:rsidRPr="009F549F">
        <w:rPr>
          <w:rFonts w:eastAsia="Century Schoolbook"/>
        </w:rPr>
        <w:t xml:space="preserve"> of a pending bill in California that would </w:t>
      </w:r>
      <w:r w:rsidRPr="009F549F">
        <w:rPr>
          <w:rFonts w:eastAsia="Century Schoolbook"/>
        </w:rPr>
        <w:lastRenderedPageBreak/>
        <w:t xml:space="preserve">impose a wealth tax on Californians with </w:t>
      </w:r>
      <w:r w:rsidR="00965A5C">
        <w:rPr>
          <w:rFonts w:eastAsia="Century Schoolbook"/>
        </w:rPr>
        <w:t xml:space="preserve">a </w:t>
      </w:r>
      <w:r w:rsidRPr="009F549F">
        <w:rPr>
          <w:rFonts w:eastAsia="Century Schoolbook"/>
        </w:rPr>
        <w:t xml:space="preserve">net worth of over $50 million, and the ULTRA system is </w:t>
      </w:r>
      <w:r w:rsidR="005F5220" w:rsidRPr="009F549F">
        <w:rPr>
          <w:rFonts w:eastAsia="Century Schoolbook"/>
        </w:rPr>
        <w:t xml:space="preserve">at </w:t>
      </w:r>
      <w:r w:rsidRPr="009F549F">
        <w:rPr>
          <w:rFonts w:eastAsia="Century Schoolbook"/>
        </w:rPr>
        <w:t>the heart of that regime.</w:t>
      </w:r>
      <w:bookmarkStart w:id="21" w:name="_Ref115379713"/>
      <w:r w:rsidRPr="009F549F">
        <w:rPr>
          <w:rFonts w:eastAsia="Century Schoolbook"/>
          <w:vertAlign w:val="superscript"/>
        </w:rPr>
        <w:footnoteReference w:id="31"/>
      </w:r>
      <w:bookmarkEnd w:id="21"/>
      <w:r w:rsidRPr="009F549F">
        <w:rPr>
          <w:rFonts w:eastAsia="Century Schoolbook"/>
        </w:rPr>
        <w:t xml:space="preserve"> More recently, </w:t>
      </w:r>
      <w:r w:rsidR="009B3A05">
        <w:rPr>
          <w:rFonts w:eastAsia="Century Schoolbook"/>
        </w:rPr>
        <w:t>we</w:t>
      </w:r>
      <w:r w:rsidRPr="00036097">
        <w:rPr>
          <w:rFonts w:eastAsia="Century Schoolbook"/>
        </w:rPr>
        <w:t xml:space="preserve"> have</w:t>
      </w:r>
      <w:r w:rsidRPr="009F549F">
        <w:rPr>
          <w:rFonts w:eastAsia="Century Schoolbook"/>
        </w:rPr>
        <w:t xml:space="preserve"> also been charged with </w:t>
      </w:r>
      <w:proofErr w:type="spellStart"/>
      <w:r w:rsidRPr="009F549F">
        <w:rPr>
          <w:rFonts w:eastAsia="Century Schoolbook"/>
        </w:rPr>
        <w:t>codrafting</w:t>
      </w:r>
      <w:proofErr w:type="spellEnd"/>
      <w:r w:rsidRPr="009F549F">
        <w:rPr>
          <w:rFonts w:eastAsia="Century Schoolbook"/>
        </w:rPr>
        <w:t xml:space="preserve"> proposed legislation to implement President Biden’s </w:t>
      </w:r>
      <w:r w:rsidRPr="00036097">
        <w:rPr>
          <w:rFonts w:eastAsia="Century Schoolbook"/>
        </w:rPr>
        <w:t>Billionaire</w:t>
      </w:r>
      <w:r w:rsidR="00A45A0D">
        <w:rPr>
          <w:rFonts w:eastAsia="Century Schoolbook"/>
        </w:rPr>
        <w:t>s</w:t>
      </w:r>
      <w:r w:rsidRPr="009F549F">
        <w:rPr>
          <w:rFonts w:eastAsia="Century Schoolbook"/>
        </w:rPr>
        <w:t xml:space="preserve"> Minimum Income Tax reform proposal—a mark-to-market reform targeted at billionaires and </w:t>
      </w:r>
      <w:proofErr w:type="spellStart"/>
      <w:r w:rsidRPr="009F549F">
        <w:rPr>
          <w:rFonts w:eastAsia="Century Schoolbook"/>
        </w:rPr>
        <w:t>megamillionaires</w:t>
      </w:r>
      <w:proofErr w:type="spellEnd"/>
      <w:r w:rsidRPr="009F549F">
        <w:rPr>
          <w:rFonts w:eastAsia="Century Schoolbook"/>
        </w:rPr>
        <w:t>—and the ULTRA system similarly plays a key role in solving the valuation challenge for that proposed reform.</w:t>
      </w:r>
      <w:bookmarkStart w:id="22" w:name="_Ref120289612"/>
      <w:r w:rsidR="005F5220" w:rsidRPr="009F549F">
        <w:rPr>
          <w:rStyle w:val="FootnoteReference"/>
          <w:rFonts w:eastAsia="Century Schoolbook"/>
        </w:rPr>
        <w:footnoteReference w:id="32"/>
      </w:r>
      <w:bookmarkEnd w:id="22"/>
      <w:r w:rsidRPr="009F549F">
        <w:rPr>
          <w:rFonts w:eastAsia="Century Schoolbook"/>
        </w:rPr>
        <w:t xml:space="preserve"> </w:t>
      </w:r>
    </w:p>
    <w:p w14:paraId="2774B666" w14:textId="1EB0E4E5" w:rsidR="007B1344" w:rsidRPr="009F549F" w:rsidRDefault="002347BA">
      <w:pPr>
        <w:spacing w:before="240" w:after="240"/>
        <w:jc w:val="both"/>
        <w:rPr>
          <w:rFonts w:eastAsia="Century Schoolbook"/>
        </w:rPr>
      </w:pPr>
      <w:r w:rsidRPr="009F549F">
        <w:rPr>
          <w:rFonts w:eastAsia="Century Schoolbook"/>
        </w:rPr>
        <w:tab/>
        <w:t xml:space="preserve">ULTRAs can also solve some of the thorniest legal problems in the U.S. tax system, many of which have been turned into loopholes exploited by the wealthy. At the risk of trying the reader’s patience, we describe some of these problems, explain why they are ultimately valuation problems, and outline how an ULTRA </w:t>
      </w:r>
      <w:r w:rsidR="00492253">
        <w:rPr>
          <w:rFonts w:ascii="Century Schoolbook" w:eastAsia="Century Schoolbook" w:hAnsi="Century Schoolbook" w:cs="Century Schoolbook"/>
        </w:rPr>
        <w:t xml:space="preserve">can </w:t>
      </w:r>
      <w:r>
        <w:rPr>
          <w:rFonts w:ascii="Century Schoolbook" w:eastAsia="Century Schoolbook" w:hAnsi="Century Schoolbook" w:cs="Century Schoolbook"/>
        </w:rPr>
        <w:t>solve</w:t>
      </w:r>
      <w:r w:rsidR="00492253">
        <w:rPr>
          <w:rFonts w:ascii="Century Schoolbook" w:eastAsia="Century Schoolbook" w:hAnsi="Century Schoolbook" w:cs="Century Schoolbook"/>
        </w:rPr>
        <w:t xml:space="preserve"> </w:t>
      </w:r>
      <w:r w:rsidR="00A45A0D">
        <w:rPr>
          <w:rFonts w:eastAsia="Century Schoolbook"/>
        </w:rPr>
        <w:t>t</w:t>
      </w:r>
      <w:r w:rsidRPr="009F549F">
        <w:rPr>
          <w:rFonts w:eastAsia="Century Schoolbook"/>
        </w:rPr>
        <w:t xml:space="preserve">hem. Among other issues, we touch on the difficulties of the estate tax, local property </w:t>
      </w:r>
      <w:r w:rsidR="00492253">
        <w:rPr>
          <w:rFonts w:ascii="Century Schoolbook" w:eastAsia="Century Schoolbook" w:hAnsi="Century Schoolbook" w:cs="Century Schoolbook"/>
        </w:rPr>
        <w:t>tax</w:t>
      </w:r>
      <w:r>
        <w:rPr>
          <w:rFonts w:ascii="Century Schoolbook" w:eastAsia="Century Schoolbook" w:hAnsi="Century Schoolbook" w:cs="Century Schoolbook"/>
        </w:rPr>
        <w:t xml:space="preserve"> </w:t>
      </w:r>
      <w:r w:rsidRPr="009F549F">
        <w:rPr>
          <w:rFonts w:eastAsia="Century Schoolbook"/>
        </w:rPr>
        <w:t xml:space="preserve">systems, </w:t>
      </w:r>
      <w:r w:rsidR="00492253">
        <w:rPr>
          <w:rFonts w:ascii="Century Schoolbook" w:eastAsia="Century Schoolbook" w:hAnsi="Century Schoolbook" w:cs="Century Schoolbook"/>
        </w:rPr>
        <w:t xml:space="preserve">and income tax issues involving </w:t>
      </w:r>
      <w:r w:rsidRPr="009F549F">
        <w:rPr>
          <w:rFonts w:eastAsia="Century Schoolbook"/>
        </w:rPr>
        <w:t xml:space="preserve">deferred compensation, installment sales, and in-kind gifts to charity. </w:t>
      </w:r>
    </w:p>
    <w:p w14:paraId="438628B1" w14:textId="2A950DB6" w:rsidR="007B1344" w:rsidRPr="009F549F" w:rsidRDefault="002347BA">
      <w:pPr>
        <w:spacing w:before="240" w:after="240"/>
        <w:ind w:firstLine="720"/>
        <w:jc w:val="both"/>
        <w:rPr>
          <w:rFonts w:eastAsia="Century Schoolbook"/>
        </w:rPr>
      </w:pPr>
      <w:r w:rsidRPr="009F549F">
        <w:rPr>
          <w:rFonts w:eastAsia="Century Schoolbook"/>
        </w:rPr>
        <w:t>For instance, the so-called “carried interest loophole” is the set of rules allowing private equity managers to defer tax on their management fees and pay tax only at capital gains rates.</w:t>
      </w:r>
      <w:bookmarkStart w:id="23" w:name="_Ref115852189"/>
      <w:r w:rsidRPr="009F549F">
        <w:rPr>
          <w:rFonts w:eastAsia="Century Schoolbook"/>
          <w:vertAlign w:val="superscript"/>
        </w:rPr>
        <w:footnoteReference w:id="33"/>
      </w:r>
      <w:bookmarkEnd w:id="23"/>
      <w:r w:rsidRPr="009F549F">
        <w:rPr>
          <w:rFonts w:eastAsia="Century Schoolbook"/>
        </w:rPr>
        <w:t xml:space="preserve"> A mark-to-market system </w:t>
      </w:r>
      <w:r w:rsidR="0047632B">
        <w:rPr>
          <w:rFonts w:ascii="Century Schoolbook" w:eastAsia="Century Schoolbook" w:hAnsi="Century Schoolbook" w:cs="Century Schoolbook"/>
        </w:rPr>
        <w:t xml:space="preserve">could </w:t>
      </w:r>
      <w:r w:rsidRPr="009F549F">
        <w:rPr>
          <w:rFonts w:eastAsia="Century Schoolbook"/>
        </w:rPr>
        <w:t xml:space="preserve">eliminate the </w:t>
      </w:r>
      <w:r w:rsidRPr="009F549F">
        <w:rPr>
          <w:rFonts w:eastAsia="Century Schoolbook"/>
        </w:rPr>
        <w:lastRenderedPageBreak/>
        <w:t xml:space="preserve">loophole, but even if we </w:t>
      </w:r>
      <w:r w:rsidR="009F6AFE">
        <w:rPr>
          <w:rFonts w:eastAsia="Century Schoolbook"/>
        </w:rPr>
        <w:t xml:space="preserve">don't </w:t>
      </w:r>
      <w:r w:rsidRPr="009F549F">
        <w:rPr>
          <w:rFonts w:eastAsia="Century Schoolbook"/>
        </w:rPr>
        <w:t>go that far, ULTRAs can close it. Private equity</w:t>
      </w:r>
      <w:r w:rsidR="00DD53FB" w:rsidRPr="00036097">
        <w:rPr>
          <w:rFonts w:eastAsia="Century Schoolbook"/>
        </w:rPr>
        <w:t xml:space="preserve"> (“PE”)</w:t>
      </w:r>
      <w:r w:rsidRPr="009F549F">
        <w:rPr>
          <w:rFonts w:eastAsia="Century Schoolbook"/>
        </w:rPr>
        <w:t xml:space="preserve"> has argued successfully that managers cannot be taxed at the time they are promised their management fees because those fees depend on uncertain future events, such as the performance of the PE fund, and thus the promise cannot be valued accurately.</w:t>
      </w:r>
      <w:r w:rsidRPr="009F549F">
        <w:rPr>
          <w:rFonts w:eastAsia="Century Schoolbook"/>
          <w:vertAlign w:val="superscript"/>
        </w:rPr>
        <w:footnoteReference w:id="34"/>
      </w:r>
      <w:r w:rsidRPr="009F549F">
        <w:rPr>
          <w:rFonts w:eastAsia="Century Schoolbook"/>
        </w:rPr>
        <w:t xml:space="preserve"> Various technical rules then convert the deferred earnings into capital gains. We could instead simply require PE managers to pay immediately via an ULTRA so that they will owe ordinary income</w:t>
      </w:r>
      <w:r w:rsidR="009F6AFE">
        <w:rPr>
          <w:rFonts w:eastAsia="Century Schoolbook"/>
        </w:rPr>
        <w:t>,</w:t>
      </w:r>
      <w:r w:rsidRPr="009F549F">
        <w:rPr>
          <w:rFonts w:eastAsia="Century Schoolbook"/>
        </w:rPr>
        <w:t xml:space="preserve"> plus implicit interest charges at the fund’s own internal rate of return</w:t>
      </w:r>
      <w:r w:rsidR="009F6AFE">
        <w:rPr>
          <w:rFonts w:eastAsia="Century Schoolbook"/>
        </w:rPr>
        <w:t>,</w:t>
      </w:r>
      <w:r w:rsidRPr="009F549F">
        <w:rPr>
          <w:rFonts w:eastAsia="Century Schoolbook"/>
        </w:rPr>
        <w:t xml:space="preserve"> when the fund resolves its affairs. </w:t>
      </w:r>
    </w:p>
    <w:p w14:paraId="0CD3ECA4" w14:textId="732AE1F6" w:rsidR="007B1344" w:rsidRPr="009F549F" w:rsidRDefault="002347BA">
      <w:pPr>
        <w:spacing w:before="240" w:after="240"/>
        <w:ind w:firstLine="720"/>
        <w:jc w:val="both"/>
        <w:rPr>
          <w:rFonts w:eastAsia="Century Schoolbook"/>
        </w:rPr>
      </w:pPr>
      <w:r w:rsidRPr="009F549F">
        <w:rPr>
          <w:rFonts w:eastAsia="Century Schoolbook"/>
        </w:rPr>
        <w:t xml:space="preserve">The rest of the Article proceeds in </w:t>
      </w:r>
      <w:r w:rsidR="00A45A0D">
        <w:rPr>
          <w:rFonts w:eastAsia="Century Schoolbook"/>
        </w:rPr>
        <w:t>four</w:t>
      </w:r>
      <w:r w:rsidRPr="00036097">
        <w:rPr>
          <w:rFonts w:eastAsia="Century Schoolbook"/>
        </w:rPr>
        <w:t xml:space="preserve"> </w:t>
      </w:r>
      <w:r w:rsidR="003B3EE8" w:rsidRPr="00036097">
        <w:rPr>
          <w:rFonts w:eastAsia="Century Schoolbook"/>
        </w:rPr>
        <w:t>p</w:t>
      </w:r>
      <w:r w:rsidRPr="009F549F">
        <w:rPr>
          <w:rFonts w:eastAsia="Century Schoolbook"/>
        </w:rPr>
        <w:t>arts</w:t>
      </w:r>
      <w:r w:rsidR="00A45A0D">
        <w:rPr>
          <w:rFonts w:eastAsia="Century Schoolbook"/>
        </w:rPr>
        <w:t xml:space="preserve"> (plus a conclusion and a technical appendix)</w:t>
      </w:r>
      <w:r w:rsidRPr="009F549F">
        <w:rPr>
          <w:rFonts w:eastAsia="Century Schoolbook"/>
        </w:rPr>
        <w:t xml:space="preserve">. Part </w:t>
      </w:r>
      <w:r w:rsidR="003B3EE8" w:rsidRPr="00036097">
        <w:rPr>
          <w:rFonts w:eastAsia="Century Schoolbook"/>
        </w:rPr>
        <w:t>I</w:t>
      </w:r>
      <w:r w:rsidR="003B3EE8" w:rsidRPr="009F549F">
        <w:rPr>
          <w:rFonts w:eastAsia="Century Schoolbook"/>
        </w:rPr>
        <w:t xml:space="preserve"> </w:t>
      </w:r>
      <w:r w:rsidRPr="009F549F">
        <w:rPr>
          <w:rFonts w:eastAsia="Century Schoolbook"/>
        </w:rPr>
        <w:t xml:space="preserve">summarizes the causes and consequences of the realization rule for readers who are relatively unfamiliar with it. Part </w:t>
      </w:r>
      <w:r w:rsidR="003B3EE8" w:rsidRPr="00036097">
        <w:rPr>
          <w:rFonts w:eastAsia="Century Schoolbook"/>
        </w:rPr>
        <w:t>II</w:t>
      </w:r>
      <w:r w:rsidR="003B3EE8" w:rsidRPr="009F549F">
        <w:rPr>
          <w:rFonts w:eastAsia="Century Schoolbook"/>
        </w:rPr>
        <w:t xml:space="preserve"> </w:t>
      </w:r>
      <w:r w:rsidRPr="009F549F">
        <w:rPr>
          <w:rFonts w:eastAsia="Century Schoolbook"/>
        </w:rPr>
        <w:t xml:space="preserve">explores alternative solutions to the valuation problem from </w:t>
      </w:r>
      <w:r w:rsidR="000F2C25">
        <w:rPr>
          <w:rFonts w:ascii="Century Schoolbook" w:eastAsia="Century Schoolbook" w:hAnsi="Century Schoolbook" w:cs="Century Schoolbook"/>
        </w:rPr>
        <w:t>prior academic research and from</w:t>
      </w:r>
      <w:r>
        <w:rPr>
          <w:rFonts w:ascii="Century Schoolbook" w:eastAsia="Century Schoolbook" w:hAnsi="Century Schoolbook" w:cs="Century Schoolbook"/>
        </w:rPr>
        <w:t xml:space="preserve"> </w:t>
      </w:r>
      <w:r w:rsidRPr="009F549F">
        <w:rPr>
          <w:rFonts w:eastAsia="Century Schoolbook"/>
        </w:rPr>
        <w:t xml:space="preserve">tax systems around the world, showing that while many of these existing options have more promise than critics have appreciated, they also each have important flaws. Part </w:t>
      </w:r>
      <w:r w:rsidR="00E627C3" w:rsidRPr="00036097">
        <w:rPr>
          <w:rFonts w:eastAsia="Century Schoolbook"/>
        </w:rPr>
        <w:t>III</w:t>
      </w:r>
      <w:r w:rsidR="00E627C3" w:rsidRPr="009F549F">
        <w:rPr>
          <w:rFonts w:eastAsia="Century Schoolbook"/>
        </w:rPr>
        <w:t xml:space="preserve"> </w:t>
      </w:r>
      <w:r w:rsidRPr="009F549F">
        <w:rPr>
          <w:rFonts w:eastAsia="Century Schoolbook"/>
        </w:rPr>
        <w:t xml:space="preserve">then lays out the basics of our ULTRA proposal, showing how it combines and builds on strengths of these prior ideas. Part </w:t>
      </w:r>
      <w:r w:rsidR="000D7992" w:rsidRPr="00036097">
        <w:rPr>
          <w:rFonts w:eastAsia="Century Schoolbook"/>
        </w:rPr>
        <w:t>IV</w:t>
      </w:r>
      <w:r w:rsidR="000D7992" w:rsidRPr="009F549F">
        <w:rPr>
          <w:rFonts w:eastAsia="Century Schoolbook"/>
        </w:rPr>
        <w:t xml:space="preserve"> </w:t>
      </w:r>
      <w:r w:rsidRPr="009F549F">
        <w:rPr>
          <w:rFonts w:eastAsia="Century Schoolbook"/>
        </w:rPr>
        <w:t xml:space="preserve">then illustrates how the ULTRA system can be adapted to a variety of settings in which extreme wealth currently escapes taxation. For example, we explain how the ULTRA can be used as one component of a larger valuation system to implement a feasible tax on extreme wealth or for imposing a mark-to-market income tax on wealthy individuals. </w:t>
      </w:r>
    </w:p>
    <w:p w14:paraId="3929F6FE" w14:textId="77777777" w:rsidR="007B1344" w:rsidRPr="009F549F" w:rsidRDefault="002347BA">
      <w:pPr>
        <w:pStyle w:val="Heading1"/>
        <w:numPr>
          <w:ilvl w:val="0"/>
          <w:numId w:val="1"/>
        </w:numPr>
        <w:rPr>
          <w:rFonts w:ascii="Times New Roman" w:hAnsi="Times New Roman"/>
          <w:b w:val="0"/>
          <w:smallCaps/>
          <w:sz w:val="24"/>
        </w:rPr>
      </w:pPr>
      <w:bookmarkStart w:id="24" w:name="_Ref115617043"/>
      <w:bookmarkStart w:id="25" w:name="_Toc115088928"/>
      <w:bookmarkStart w:id="26" w:name="_Toc120019824"/>
      <w:r w:rsidRPr="009F549F">
        <w:rPr>
          <w:rFonts w:ascii="Times New Roman" w:hAnsi="Times New Roman"/>
          <w:b w:val="0"/>
          <w:smallCaps/>
          <w:sz w:val="24"/>
        </w:rPr>
        <w:t>Background: Realization and Its Discontents</w:t>
      </w:r>
      <w:bookmarkEnd w:id="24"/>
      <w:bookmarkEnd w:id="25"/>
      <w:bookmarkEnd w:id="26"/>
    </w:p>
    <w:p w14:paraId="19F53695" w14:textId="5A949815" w:rsidR="007B1344" w:rsidRPr="009F549F" w:rsidRDefault="002347BA">
      <w:pPr>
        <w:spacing w:before="240" w:after="240"/>
        <w:jc w:val="both"/>
        <w:rPr>
          <w:rFonts w:eastAsia="Century Schoolbook"/>
        </w:rPr>
      </w:pPr>
      <w:r w:rsidRPr="009F549F">
        <w:rPr>
          <w:rFonts w:eastAsia="Century Schoolbook"/>
        </w:rPr>
        <w:tab/>
        <w:t xml:space="preserve">In this Part we briefly review the problems of a realization-based income tax. </w:t>
      </w:r>
      <w:r w:rsidR="00175419" w:rsidRPr="00036097">
        <w:rPr>
          <w:rFonts w:eastAsia="Century Schoolbook"/>
        </w:rPr>
        <w:t>Because</w:t>
      </w:r>
      <w:r w:rsidR="00175419" w:rsidRPr="009F549F">
        <w:rPr>
          <w:rFonts w:eastAsia="Century Schoolbook"/>
        </w:rPr>
        <w:t xml:space="preserve"> </w:t>
      </w:r>
      <w:r w:rsidRPr="009F549F">
        <w:rPr>
          <w:rFonts w:eastAsia="Century Schoolbook"/>
        </w:rPr>
        <w:t>these problems have been well summarized by other writers and we break no new ground</w:t>
      </w:r>
      <w:r w:rsidR="009F1E71">
        <w:rPr>
          <w:rFonts w:ascii="Century Schoolbook" w:eastAsia="Century Schoolbook" w:hAnsi="Century Schoolbook" w:cs="Century Schoolbook"/>
        </w:rPr>
        <w:t xml:space="preserve"> here</w:t>
      </w:r>
      <w:r w:rsidRPr="009F549F">
        <w:rPr>
          <w:rFonts w:eastAsia="Century Schoolbook"/>
        </w:rPr>
        <w:t xml:space="preserve">, readers already familiar with this account may prefer to skip to Part II. </w:t>
      </w:r>
    </w:p>
    <w:p w14:paraId="6F3BB077" w14:textId="76AB1366" w:rsidR="007B1344" w:rsidRPr="009F549F" w:rsidRDefault="002347BA">
      <w:pPr>
        <w:spacing w:before="240" w:after="240"/>
        <w:ind w:firstLine="720"/>
        <w:jc w:val="both"/>
        <w:rPr>
          <w:rFonts w:eastAsia="Century Schoolbook"/>
        </w:rPr>
      </w:pPr>
      <w:bookmarkStart w:id="27" w:name="_17dp8vu" w:colFirst="0" w:colLast="0"/>
      <w:bookmarkEnd w:id="27"/>
      <w:r w:rsidRPr="009F549F">
        <w:rPr>
          <w:rFonts w:eastAsia="Century Schoolbook"/>
        </w:rPr>
        <w:lastRenderedPageBreak/>
        <w:t>The defining feature of an income tax is that it taxes annual changes in a taxpayer’s wealth.</w:t>
      </w:r>
      <w:bookmarkStart w:id="28" w:name="_Ref115729212"/>
      <w:r w:rsidRPr="009F549F">
        <w:rPr>
          <w:rFonts w:eastAsia="Century Schoolbook"/>
          <w:vertAlign w:val="superscript"/>
        </w:rPr>
        <w:footnoteReference w:id="35"/>
      </w:r>
      <w:bookmarkEnd w:id="28"/>
      <w:r w:rsidRPr="009F549F">
        <w:rPr>
          <w:rFonts w:eastAsia="Century Schoolbook"/>
        </w:rPr>
        <w:t xml:space="preserve"> To tax changes in annual wealth, though, we must be able to measure it.</w:t>
      </w:r>
      <w:r w:rsidRPr="009F549F">
        <w:rPr>
          <w:rFonts w:eastAsia="Century Schoolbook"/>
          <w:vertAlign w:val="superscript"/>
        </w:rPr>
        <w:footnoteReference w:id="36"/>
      </w:r>
      <w:r w:rsidRPr="009F549F">
        <w:rPr>
          <w:rFonts w:eastAsia="Century Schoolbook"/>
        </w:rPr>
        <w:t xml:space="preserve"> Appraisals are expensive and</w:t>
      </w:r>
      <w:r w:rsidR="00415D96">
        <w:rPr>
          <w:rFonts w:eastAsia="Century Schoolbook"/>
        </w:rPr>
        <w:t>,</w:t>
      </w:r>
      <w:r w:rsidRPr="009F549F">
        <w:rPr>
          <w:rFonts w:eastAsia="Century Schoolbook"/>
        </w:rPr>
        <w:t xml:space="preserve"> when stakes are high</w:t>
      </w:r>
      <w:r w:rsidR="009814F1" w:rsidRPr="00036097">
        <w:rPr>
          <w:rFonts w:eastAsia="Century Schoolbook"/>
        </w:rPr>
        <w:t>,</w:t>
      </w:r>
      <w:r w:rsidRPr="009F549F">
        <w:rPr>
          <w:rFonts w:eastAsia="Century Schoolbook"/>
        </w:rPr>
        <w:t xml:space="preserve"> often result in costly litigation. In modern experience, taxpayers have been able to bring more resources to these disputes</w:t>
      </w:r>
      <w:r w:rsidR="00415D96">
        <w:rPr>
          <w:rFonts w:eastAsia="Century Schoolbook"/>
        </w:rPr>
        <w:t>,</w:t>
      </w:r>
      <w:r w:rsidRPr="009F549F">
        <w:rPr>
          <w:rFonts w:eastAsia="Century Schoolbook"/>
        </w:rPr>
        <w:t xml:space="preserve"> so governments very often lose.</w:t>
      </w:r>
      <w:bookmarkStart w:id="29" w:name="_Ref115600030"/>
      <w:r w:rsidRPr="009F549F">
        <w:rPr>
          <w:rFonts w:eastAsia="Century Schoolbook"/>
          <w:vertAlign w:val="superscript"/>
        </w:rPr>
        <w:footnoteReference w:id="37"/>
      </w:r>
      <w:bookmarkEnd w:id="29"/>
      <w:r w:rsidRPr="009F549F">
        <w:rPr>
          <w:rFonts w:eastAsia="Century Schoolbook"/>
        </w:rPr>
        <w:t xml:space="preserve"> Governments cannot just give up on these contests </w:t>
      </w:r>
      <w:r w:rsidR="00055767" w:rsidRPr="00036097">
        <w:rPr>
          <w:rFonts w:eastAsia="Century Schoolbook"/>
        </w:rPr>
        <w:t xml:space="preserve">because </w:t>
      </w:r>
      <w:r w:rsidRPr="009F549F">
        <w:rPr>
          <w:rFonts w:eastAsia="Century Schoolbook"/>
        </w:rPr>
        <w:t xml:space="preserve">the cost of litigating, if nothing else, likely constrains the most abusive taxpayer undervaluation efforts. But </w:t>
      </w:r>
      <w:r w:rsidR="007310D0">
        <w:rPr>
          <w:rFonts w:eastAsia="Century Schoolbook"/>
        </w:rPr>
        <w:t>the government stands a strong chance of losing money in each individual contest it enters</w:t>
      </w:r>
      <w:r w:rsidRPr="009F549F">
        <w:rPr>
          <w:rFonts w:eastAsia="Century Schoolbook"/>
        </w:rPr>
        <w:t>. Engaging in this process every year for every asset is not remotely realistic.</w:t>
      </w:r>
      <w:bookmarkStart w:id="30" w:name="_Ref115037095"/>
      <w:r w:rsidRPr="009F549F">
        <w:rPr>
          <w:rFonts w:eastAsia="Century Schoolbook"/>
          <w:vertAlign w:val="superscript"/>
        </w:rPr>
        <w:footnoteReference w:id="38"/>
      </w:r>
      <w:bookmarkEnd w:id="30"/>
    </w:p>
    <w:p w14:paraId="5FEDCA3A" w14:textId="77777777" w:rsidR="007B1344" w:rsidRPr="009F549F" w:rsidRDefault="002347BA">
      <w:pPr>
        <w:spacing w:before="240" w:after="240"/>
        <w:ind w:firstLine="720"/>
        <w:jc w:val="both"/>
        <w:rPr>
          <w:rFonts w:eastAsia="Century Schoolbook"/>
        </w:rPr>
      </w:pPr>
      <w:bookmarkStart w:id="31" w:name="_3rdcrjn" w:colFirst="0" w:colLast="0"/>
      <w:bookmarkEnd w:id="31"/>
      <w:r w:rsidRPr="009F549F">
        <w:rPr>
          <w:rFonts w:eastAsia="Century Schoolbook"/>
        </w:rPr>
        <w:t>Highly related to the valuation challenge, liquidity issues pose further obstacles to levying annual taxes on wealth or on increases in wealth.</w:t>
      </w:r>
      <w:r w:rsidRPr="009F549F">
        <w:rPr>
          <w:rFonts w:eastAsia="Century Schoolbook"/>
          <w:vertAlign w:val="superscript"/>
        </w:rPr>
        <w:footnoteReference w:id="39"/>
      </w:r>
      <w:r w:rsidRPr="009F549F">
        <w:rPr>
          <w:rFonts w:eastAsia="Century Schoolbook"/>
        </w:rPr>
        <w:t xml:space="preserve"> The most familiar example for many readers is probably in the context of local property taxes imposed on the assessed value of residential property. Retired homeowners with no incomes but highly appreciated property may not be able to afford their property tax bills.</w:t>
      </w:r>
      <w:bookmarkStart w:id="32" w:name="_Ref115038318"/>
      <w:r w:rsidRPr="009F549F">
        <w:rPr>
          <w:rFonts w:eastAsia="Century Schoolbook"/>
          <w:vertAlign w:val="superscript"/>
        </w:rPr>
        <w:footnoteReference w:id="40"/>
      </w:r>
      <w:bookmarkEnd w:id="32"/>
      <w:r w:rsidRPr="009F549F">
        <w:rPr>
          <w:rFonts w:eastAsia="Century Schoolbook"/>
        </w:rPr>
        <w:t xml:space="preserve"> In addition to potential fairness concerns, liquidity can also have “allocational efficiency” effects: taxpayers who are afraid of an unpayable tax bill may avoid illiquid assets, even if those assets would otherwise be their best investment option.</w:t>
      </w:r>
      <w:r w:rsidRPr="009F549F">
        <w:rPr>
          <w:rFonts w:eastAsia="Century Schoolbook"/>
          <w:vertAlign w:val="superscript"/>
        </w:rPr>
        <w:footnoteReference w:id="41"/>
      </w:r>
      <w:r w:rsidRPr="009F549F">
        <w:rPr>
          <w:rFonts w:eastAsia="Century Schoolbook"/>
        </w:rPr>
        <w:t xml:space="preserve"> </w:t>
      </w:r>
    </w:p>
    <w:p w14:paraId="4073FCCB" w14:textId="3AA04D51" w:rsidR="007B1344" w:rsidRPr="009F549F" w:rsidRDefault="002347BA">
      <w:pPr>
        <w:spacing w:before="240" w:after="240"/>
        <w:ind w:firstLine="720"/>
        <w:jc w:val="both"/>
        <w:rPr>
          <w:rFonts w:eastAsia="Century Schoolbook"/>
        </w:rPr>
      </w:pPr>
      <w:bookmarkStart w:id="33" w:name="_26in1rg" w:colFirst="0" w:colLast="0"/>
      <w:bookmarkEnd w:id="33"/>
      <w:r w:rsidRPr="009F549F">
        <w:rPr>
          <w:rFonts w:eastAsia="Century Schoolbook"/>
        </w:rPr>
        <w:lastRenderedPageBreak/>
        <w:t>A sale for cash solves both the valuation and liquidity problems.</w:t>
      </w:r>
      <w:bookmarkStart w:id="34" w:name="_Ref115045365"/>
      <w:r w:rsidRPr="009F549F">
        <w:rPr>
          <w:rFonts w:eastAsia="Century Schoolbook"/>
          <w:vertAlign w:val="superscript"/>
        </w:rPr>
        <w:footnoteReference w:id="42"/>
      </w:r>
      <w:bookmarkEnd w:id="34"/>
      <w:r w:rsidRPr="009F549F">
        <w:rPr>
          <w:rFonts w:eastAsia="Century Schoolbook"/>
        </w:rPr>
        <w:t xml:space="preserve"> Value, after all, is usually just what a willing buyer will pay to a willing unrelated seller. And if the sale is for cash, </w:t>
      </w:r>
      <w:r w:rsidR="00D4322E" w:rsidRPr="009F549F">
        <w:rPr>
          <w:rFonts w:eastAsia="Century Schoolbook"/>
        </w:rPr>
        <w:t xml:space="preserve">the </w:t>
      </w:r>
      <w:r w:rsidRPr="009F549F">
        <w:rPr>
          <w:rFonts w:eastAsia="Century Schoolbook"/>
        </w:rPr>
        <w:t xml:space="preserve">seller can generally set aside a portion </w:t>
      </w:r>
      <w:r w:rsidR="00942262">
        <w:rPr>
          <w:rFonts w:eastAsia="Century Schoolbook"/>
        </w:rPr>
        <w:t xml:space="preserve">of the sales proceeds </w:t>
      </w:r>
      <w:r w:rsidRPr="009F549F">
        <w:rPr>
          <w:rFonts w:eastAsia="Century Schoolbook"/>
        </w:rPr>
        <w:t xml:space="preserve">to pay her tax bill.   </w:t>
      </w:r>
    </w:p>
    <w:p w14:paraId="3CB5DCE6" w14:textId="43375E20" w:rsidR="007B1344" w:rsidRPr="009F549F" w:rsidRDefault="002347BA">
      <w:pPr>
        <w:spacing w:before="240" w:after="240"/>
        <w:ind w:firstLine="720"/>
        <w:jc w:val="both"/>
        <w:rPr>
          <w:rFonts w:eastAsia="Century Schoolbook"/>
        </w:rPr>
      </w:pPr>
      <w:bookmarkStart w:id="35" w:name="_lnxbz9" w:colFirst="0" w:colLast="0"/>
      <w:bookmarkEnd w:id="35"/>
      <w:r w:rsidRPr="009F549F">
        <w:rPr>
          <w:rFonts w:eastAsia="Century Schoolbook"/>
        </w:rPr>
        <w:t>That is the basic logic of the realization rule.</w:t>
      </w:r>
      <w:bookmarkStart w:id="36" w:name="_Ref115157403"/>
      <w:r w:rsidRPr="009F549F">
        <w:rPr>
          <w:rFonts w:eastAsia="Century Schoolbook"/>
          <w:vertAlign w:val="superscript"/>
        </w:rPr>
        <w:footnoteReference w:id="43"/>
      </w:r>
      <w:bookmarkEnd w:id="36"/>
      <w:r w:rsidRPr="009F549F">
        <w:rPr>
          <w:rFonts w:eastAsia="Century Schoolbook"/>
        </w:rPr>
        <w:t xml:space="preserve"> Instead of taxing annual changes in a taxpayer’s assets, modern tax systems overwhelmingly wait to assess tax until an asset is</w:t>
      </w:r>
      <w:r w:rsidR="005A2881">
        <w:rPr>
          <w:rFonts w:eastAsia="Century Schoolbook"/>
        </w:rPr>
        <w:t xml:space="preserve"> either</w:t>
      </w:r>
      <w:r w:rsidRPr="009F549F">
        <w:rPr>
          <w:rFonts w:eastAsia="Century Schoolbook"/>
        </w:rPr>
        <w:t xml:space="preserve"> sold or </w:t>
      </w:r>
      <w:r w:rsidRPr="00036097">
        <w:rPr>
          <w:rFonts w:eastAsia="Century Schoolbook"/>
        </w:rPr>
        <w:t>disposed</w:t>
      </w:r>
      <w:r w:rsidRPr="009F549F">
        <w:rPr>
          <w:rFonts w:eastAsia="Century Schoolbook"/>
        </w:rPr>
        <w:t xml:space="preserve"> of in a sale-like transaction. At sale, the seller has income equal to their sale price less their “basis,” a tax concept that usually represents the price the seller originally paid for the asset.</w:t>
      </w:r>
      <w:r w:rsidRPr="009F549F">
        <w:rPr>
          <w:rFonts w:eastAsia="Century Schoolbook"/>
          <w:vertAlign w:val="superscript"/>
        </w:rPr>
        <w:footnoteReference w:id="44"/>
      </w:r>
      <w:r w:rsidRPr="009F549F">
        <w:rPr>
          <w:rFonts w:eastAsia="Century Schoolbook"/>
        </w:rPr>
        <w:t xml:space="preserve"> Tax systems typically extend realization to barter transactions as well as cash sales, even though in-kind swaps </w:t>
      </w:r>
      <w:r w:rsidR="00FD19D8">
        <w:rPr>
          <w:rFonts w:ascii="Century Schoolbook" w:eastAsia="Century Schoolbook" w:hAnsi="Century Schoolbook" w:cs="Century Schoolbook"/>
        </w:rPr>
        <w:t>don't</w:t>
      </w:r>
      <w:r w:rsidRPr="009F549F">
        <w:rPr>
          <w:rFonts w:eastAsia="Century Schoolbook"/>
        </w:rPr>
        <w:t xml:space="preserve"> perfectly solve the valuation and liquidity problems, on the assumption that most barter transactions could have been conducted in cash.</w:t>
      </w:r>
      <w:bookmarkStart w:id="37" w:name="_Ref115211226"/>
      <w:r w:rsidRPr="009F549F">
        <w:rPr>
          <w:rFonts w:eastAsia="Century Schoolbook"/>
          <w:vertAlign w:val="superscript"/>
        </w:rPr>
        <w:footnoteReference w:id="45"/>
      </w:r>
      <w:bookmarkEnd w:id="37"/>
      <w:r w:rsidRPr="009F549F">
        <w:rPr>
          <w:rFonts w:eastAsia="Century Schoolbook"/>
        </w:rPr>
        <w:t xml:space="preserve"> Exempting barter from tax would thus inefficiently encourage barter over cash exchange.</w:t>
      </w:r>
      <w:r w:rsidRPr="009F549F">
        <w:rPr>
          <w:rFonts w:eastAsia="Century Schoolbook"/>
          <w:vertAlign w:val="superscript"/>
        </w:rPr>
        <w:footnoteReference w:id="46"/>
      </w:r>
      <w:r w:rsidRPr="009F549F">
        <w:rPr>
          <w:rFonts w:eastAsia="Century Schoolbook"/>
        </w:rPr>
        <w:t xml:space="preserve"> </w:t>
      </w:r>
    </w:p>
    <w:p w14:paraId="27E845A3" w14:textId="7FB6D3E3" w:rsidR="007B1344" w:rsidRPr="009F549F" w:rsidRDefault="002347BA">
      <w:pPr>
        <w:spacing w:before="240" w:after="240"/>
        <w:ind w:firstLine="720"/>
        <w:jc w:val="both"/>
        <w:rPr>
          <w:rFonts w:eastAsia="Century Schoolbook"/>
        </w:rPr>
      </w:pPr>
      <w:bookmarkStart w:id="38" w:name="_35nkun2" w:colFirst="0" w:colLast="0"/>
      <w:bookmarkEnd w:id="38"/>
      <w:r w:rsidRPr="009F549F">
        <w:rPr>
          <w:rFonts w:eastAsia="Century Schoolbook"/>
        </w:rPr>
        <w:t>To be sure, valuation problems are not nearly as serious for some, maybe most, assets.</w:t>
      </w:r>
      <w:r w:rsidRPr="009F549F">
        <w:rPr>
          <w:rFonts w:eastAsia="Century Schoolbook"/>
          <w:vertAlign w:val="superscript"/>
        </w:rPr>
        <w:footnoteReference w:id="47"/>
      </w:r>
      <w:r w:rsidRPr="009F549F">
        <w:rPr>
          <w:rFonts w:eastAsia="Century Schoolbook"/>
        </w:rPr>
        <w:t xml:space="preserve"> Value is central to the functioning of modern markets, after all, and so market actors are highly motivated to develop valuation tools.</w:t>
      </w:r>
      <w:bookmarkStart w:id="39" w:name="_Ref115301504"/>
      <w:r w:rsidRPr="009F549F">
        <w:rPr>
          <w:rFonts w:eastAsia="Century Schoolbook"/>
          <w:vertAlign w:val="superscript"/>
        </w:rPr>
        <w:footnoteReference w:id="48"/>
      </w:r>
      <w:bookmarkEnd w:id="39"/>
      <w:r w:rsidRPr="009F549F">
        <w:rPr>
          <w:rFonts w:eastAsia="Century Schoolbook"/>
        </w:rPr>
        <w:t xml:space="preserve"> Exchanges, for instance, now track the value of many securities by the millionth of a second. For complex nontraded assets, buyers often use contract features that allow the </w:t>
      </w:r>
      <w:r w:rsidRPr="009F549F">
        <w:rPr>
          <w:rFonts w:eastAsia="Century Schoolbook"/>
        </w:rPr>
        <w:lastRenderedPageBreak/>
        <w:t>purchase price to vary depending on the economic performance of the asset during a period after sale, a mechanism typically known as the “earn out.” Arguably, tools like these could allow many assets to be taxed annually instead of being subject to the realization rule.</w:t>
      </w:r>
      <w:r w:rsidRPr="009F549F">
        <w:rPr>
          <w:rFonts w:eastAsia="Century Schoolbook"/>
          <w:vertAlign w:val="superscript"/>
        </w:rPr>
        <w:footnoteReference w:id="49"/>
      </w:r>
      <w:r w:rsidRPr="009F549F">
        <w:rPr>
          <w:rFonts w:eastAsia="Century Schoolbook"/>
        </w:rPr>
        <w:t xml:space="preserve"> </w:t>
      </w:r>
    </w:p>
    <w:p w14:paraId="14C44F24" w14:textId="36E593AC" w:rsidR="007B1344" w:rsidRPr="009F549F" w:rsidRDefault="002347BA">
      <w:pPr>
        <w:spacing w:before="240" w:after="240"/>
        <w:ind w:firstLine="720"/>
        <w:jc w:val="both"/>
        <w:rPr>
          <w:rFonts w:eastAsia="Century Schoolbook"/>
        </w:rPr>
      </w:pPr>
      <w:bookmarkStart w:id="40" w:name="_1ksv4uv" w:colFirst="0" w:colLast="0"/>
      <w:bookmarkEnd w:id="40"/>
      <w:r w:rsidRPr="009F549F">
        <w:rPr>
          <w:rFonts w:eastAsia="Century Schoolbook"/>
        </w:rPr>
        <w:t xml:space="preserve">Nevertheless, by conventional wisdom, it </w:t>
      </w:r>
      <w:r w:rsidR="00FD19D8">
        <w:rPr>
          <w:rFonts w:ascii="Century Schoolbook" w:eastAsia="Century Schoolbook" w:hAnsi="Century Schoolbook" w:cs="Century Schoolbook"/>
        </w:rPr>
        <w:t>isn't</w:t>
      </w:r>
      <w:r w:rsidRPr="009F549F">
        <w:rPr>
          <w:rFonts w:eastAsia="Century Schoolbook"/>
        </w:rPr>
        <w:t xml:space="preserve"> practical to tax some major categories of assets annually and others only at sale,</w:t>
      </w:r>
      <w:r w:rsidRPr="009F549F">
        <w:rPr>
          <w:rFonts w:eastAsia="Century Schoolbook"/>
          <w:vertAlign w:val="superscript"/>
        </w:rPr>
        <w:footnoteReference w:id="50"/>
      </w:r>
      <w:r w:rsidRPr="009F549F">
        <w:rPr>
          <w:rFonts w:eastAsia="Century Schoolbook"/>
        </w:rPr>
        <w:t xml:space="preserve"> at least for </w:t>
      </w:r>
      <w:r w:rsidR="00763FBE" w:rsidRPr="00036097">
        <w:rPr>
          <w:rFonts w:eastAsia="Century Schoolbook"/>
        </w:rPr>
        <w:t>most</w:t>
      </w:r>
      <w:r w:rsidRPr="009F549F">
        <w:rPr>
          <w:rFonts w:eastAsia="Century Schoolbook"/>
        </w:rPr>
        <w:t xml:space="preserve"> taxpayers. If taxpayers dislike annual taxation (and they do, as we will explain shortly), then subjecting different categories of assets to different rules will distort investors’ choices.</w:t>
      </w:r>
      <w:r w:rsidRPr="009F549F">
        <w:rPr>
          <w:rFonts w:eastAsia="Century Schoolbook"/>
          <w:vertAlign w:val="superscript"/>
        </w:rPr>
        <w:footnoteReference w:id="51"/>
      </w:r>
      <w:r w:rsidRPr="009F549F">
        <w:rPr>
          <w:rFonts w:eastAsia="Century Schoolbook"/>
        </w:rPr>
        <w:t xml:space="preserve"> Trying to draw legal lines between assets may also be difficult to implement. In the modern financial world, it is easy to reconstruct the underlying economics of one financial instrument using combinations of other instruments.</w:t>
      </w:r>
      <w:bookmarkStart w:id="41" w:name="_Ref115645220"/>
      <w:r w:rsidRPr="009F549F">
        <w:rPr>
          <w:rFonts w:eastAsia="Century Schoolbook"/>
          <w:vertAlign w:val="superscript"/>
        </w:rPr>
        <w:footnoteReference w:id="52"/>
      </w:r>
      <w:bookmarkEnd w:id="41"/>
      <w:r w:rsidRPr="009F549F">
        <w:rPr>
          <w:rFonts w:eastAsia="Century Schoolbook"/>
        </w:rPr>
        <w:t xml:space="preserve"> For example, if Betty wants to invest in </w:t>
      </w:r>
      <w:proofErr w:type="spellStart"/>
      <w:r w:rsidRPr="009F549F">
        <w:rPr>
          <w:rFonts w:eastAsia="Century Schoolbook"/>
        </w:rPr>
        <w:t>ArchCo</w:t>
      </w:r>
      <w:proofErr w:type="spellEnd"/>
      <w:r w:rsidRPr="009F549F">
        <w:rPr>
          <w:rFonts w:eastAsia="Century Schoolbook"/>
        </w:rPr>
        <w:t xml:space="preserve"> stock, but stock is taxed annually, she can instead purchase a notional financial contract that pays her based on the performance of </w:t>
      </w:r>
      <w:proofErr w:type="spellStart"/>
      <w:r w:rsidRPr="009F549F">
        <w:rPr>
          <w:rFonts w:eastAsia="Century Schoolbook"/>
        </w:rPr>
        <w:t>ArchCo</w:t>
      </w:r>
      <w:proofErr w:type="spellEnd"/>
      <w:r w:rsidRPr="009F549F">
        <w:rPr>
          <w:rFonts w:eastAsia="Century Schoolbook"/>
        </w:rPr>
        <w:t>.</w:t>
      </w:r>
      <w:bookmarkStart w:id="42" w:name="_Ref115604338"/>
      <w:r w:rsidRPr="009F549F">
        <w:rPr>
          <w:rFonts w:eastAsia="Century Schoolbook"/>
          <w:vertAlign w:val="superscript"/>
        </w:rPr>
        <w:footnoteReference w:id="53"/>
      </w:r>
      <w:bookmarkEnd w:id="42"/>
      <w:r w:rsidRPr="009F549F">
        <w:rPr>
          <w:rFonts w:eastAsia="Century Schoolbook"/>
        </w:rPr>
        <w:t xml:space="preserve"> If the financial contract she purchases is privately offered and not traded on an exchange, she might be able to escape annual taxation, despite having made essentially the same </w:t>
      </w:r>
      <w:r w:rsidR="00727C5B">
        <w:rPr>
          <w:rFonts w:eastAsia="Century Schoolbook"/>
        </w:rPr>
        <w:t xml:space="preserve">financial </w:t>
      </w:r>
      <w:r w:rsidRPr="009F549F">
        <w:rPr>
          <w:rFonts w:eastAsia="Century Schoolbook"/>
        </w:rPr>
        <w:t xml:space="preserve">investment as if she had bought the stock outright.   </w:t>
      </w:r>
    </w:p>
    <w:p w14:paraId="4A1CD226" w14:textId="64E484AD" w:rsidR="007B1344" w:rsidRPr="009F549F" w:rsidRDefault="002347BA">
      <w:pPr>
        <w:spacing w:before="240" w:after="240"/>
        <w:ind w:firstLine="720"/>
        <w:jc w:val="both"/>
        <w:rPr>
          <w:rFonts w:eastAsia="Century Schoolbook"/>
        </w:rPr>
      </w:pPr>
      <w:r w:rsidRPr="009F549F">
        <w:rPr>
          <w:rFonts w:eastAsia="Century Schoolbook"/>
        </w:rPr>
        <w:lastRenderedPageBreak/>
        <w:t xml:space="preserve">The realization principle helps to resolve the valuation challenge, but at enormous cost. First, realization affects the timing of when taxpayers sell their property. In general, </w:t>
      </w:r>
      <w:r w:rsidR="00FD19D8">
        <w:rPr>
          <w:rFonts w:ascii="Century Schoolbook" w:eastAsia="Century Schoolbook" w:hAnsi="Century Schoolbook" w:cs="Century Schoolbook"/>
        </w:rPr>
        <w:t>it</w:t>
      </w:r>
      <w:r w:rsidR="00515316">
        <w:rPr>
          <w:rFonts w:ascii="Century Schoolbook" w:eastAsia="Century Schoolbook" w:hAnsi="Century Schoolbook" w:cs="Century Schoolbook"/>
        </w:rPr>
        <w:t>’</w:t>
      </w:r>
      <w:r w:rsidR="00FD19D8">
        <w:rPr>
          <w:rFonts w:ascii="Century Schoolbook" w:eastAsia="Century Schoolbook" w:hAnsi="Century Schoolbook" w:cs="Century Schoolbook"/>
        </w:rPr>
        <w:t>s</w:t>
      </w:r>
      <w:r w:rsidRPr="009F549F">
        <w:rPr>
          <w:rFonts w:eastAsia="Century Schoolbook"/>
        </w:rPr>
        <w:t xml:space="preserve"> better to pay taxes later than it is to pay them today because deferral allows taxpayers to retain the time value of the money they would otherwise owe the government.</w:t>
      </w:r>
      <w:r w:rsidRPr="009F549F">
        <w:rPr>
          <w:rFonts w:eastAsia="Century Schoolbook"/>
          <w:vertAlign w:val="superscript"/>
        </w:rPr>
        <w:footnoteReference w:id="54"/>
      </w:r>
      <w:r w:rsidRPr="009F549F">
        <w:rPr>
          <w:rFonts w:eastAsia="Century Schoolbook"/>
        </w:rPr>
        <w:t xml:space="preserve">  </w:t>
      </w:r>
      <w:r w:rsidR="009F7E8A" w:rsidRPr="00036097">
        <w:rPr>
          <w:rFonts w:eastAsia="Century Schoolbook"/>
        </w:rPr>
        <w:t xml:space="preserve">Because </w:t>
      </w:r>
      <w:r w:rsidRPr="009F549F">
        <w:rPr>
          <w:rFonts w:eastAsia="Century Schoolbook"/>
        </w:rPr>
        <w:t xml:space="preserve">under a realization rule the taxpayer can defer tax indefinitely, as long as </w:t>
      </w:r>
      <w:r w:rsidR="00B0297F">
        <w:rPr>
          <w:rFonts w:eastAsia="Century Schoolbook"/>
        </w:rPr>
        <w:t>they</w:t>
      </w:r>
      <w:r w:rsidR="00B0297F" w:rsidRPr="00036097">
        <w:rPr>
          <w:rFonts w:eastAsia="Century Schoolbook"/>
        </w:rPr>
        <w:t xml:space="preserve"> </w:t>
      </w:r>
      <w:r w:rsidRPr="009F549F">
        <w:rPr>
          <w:rFonts w:eastAsia="Century Schoolbook"/>
        </w:rPr>
        <w:t xml:space="preserve">continue to hold a piece of property, </w:t>
      </w:r>
      <w:r w:rsidR="00D973F5">
        <w:rPr>
          <w:rFonts w:eastAsia="Century Schoolbook"/>
        </w:rPr>
        <w:t>the rule</w:t>
      </w:r>
      <w:r w:rsidRPr="009F549F">
        <w:rPr>
          <w:rFonts w:eastAsia="Century Schoolbook"/>
        </w:rPr>
        <w:t xml:space="preserve"> offers a strong motive to delay sale.</w:t>
      </w:r>
      <w:r w:rsidRPr="009F549F">
        <w:rPr>
          <w:rFonts w:eastAsia="Century Schoolbook"/>
          <w:vertAlign w:val="superscript"/>
        </w:rPr>
        <w:footnoteReference w:id="55"/>
      </w:r>
      <w:r w:rsidRPr="009F549F">
        <w:rPr>
          <w:rFonts w:eastAsia="Century Schoolbook"/>
        </w:rPr>
        <w:t xml:space="preserve"> In the United States</w:t>
      </w:r>
      <w:r w:rsidR="004F5F88" w:rsidRPr="00036097">
        <w:rPr>
          <w:rFonts w:eastAsia="Century Schoolbook"/>
        </w:rPr>
        <w:t>,</w:t>
      </w:r>
      <w:r w:rsidRPr="009F549F">
        <w:rPr>
          <w:rFonts w:eastAsia="Century Schoolbook"/>
        </w:rPr>
        <w:t xml:space="preserve"> this motive is made even more powerful by a special rule for inheritances.</w:t>
      </w:r>
      <w:r w:rsidRPr="009F549F">
        <w:rPr>
          <w:rFonts w:eastAsia="Century Schoolbook"/>
          <w:vertAlign w:val="superscript"/>
        </w:rPr>
        <w:footnoteReference w:id="56"/>
      </w:r>
      <w:r w:rsidRPr="009F549F">
        <w:rPr>
          <w:rFonts w:eastAsia="Century Schoolbook"/>
        </w:rPr>
        <w:t xml:space="preserve"> Death is not treated as a realization event, and heirs essentially owe no income tax on any of the value an asset gained while it was in the hands of the decedent (this rule is known to tax mavens as the “basis step-up at death”).</w:t>
      </w:r>
      <w:r w:rsidRPr="009F549F">
        <w:rPr>
          <w:rFonts w:eastAsia="Century Schoolbook"/>
          <w:vertAlign w:val="superscript"/>
        </w:rPr>
        <w:footnoteReference w:id="57"/>
      </w:r>
      <w:r w:rsidRPr="009F549F">
        <w:rPr>
          <w:rFonts w:eastAsia="Century Schoolbook"/>
        </w:rPr>
        <w:t xml:space="preserve"> Empirically, this combination of rules has been shown to powerfully constrain investors’ willingness to sell their property.</w:t>
      </w:r>
      <w:r w:rsidRPr="009F549F">
        <w:rPr>
          <w:rFonts w:eastAsia="Century Schoolbook"/>
          <w:vertAlign w:val="superscript"/>
        </w:rPr>
        <w:footnoteReference w:id="58"/>
      </w:r>
      <w:r w:rsidRPr="009F549F">
        <w:rPr>
          <w:rFonts w:eastAsia="Century Schoolbook"/>
        </w:rPr>
        <w:t xml:space="preserve">   </w:t>
      </w:r>
    </w:p>
    <w:p w14:paraId="4EB6CCE0" w14:textId="2DC2DC55" w:rsidR="007B1344" w:rsidRPr="009F549F" w:rsidRDefault="002347BA">
      <w:pPr>
        <w:spacing w:before="240" w:after="240"/>
        <w:jc w:val="both"/>
        <w:rPr>
          <w:rFonts w:eastAsia="Century Schoolbook"/>
        </w:rPr>
      </w:pPr>
      <w:bookmarkStart w:id="43" w:name="_44sinio" w:colFirst="0" w:colLast="0"/>
      <w:bookmarkEnd w:id="43"/>
      <w:r w:rsidRPr="009F549F">
        <w:rPr>
          <w:rFonts w:eastAsia="Century Schoolbook"/>
        </w:rPr>
        <w:tab/>
        <w:t xml:space="preserve">While realization makes taxpayers want to keep their appreciated property, it also may encourage disposition of property that has lost value. Realized losses allow taxpayers to claim deductions, </w:t>
      </w:r>
      <w:r w:rsidR="00727C5B">
        <w:rPr>
          <w:rFonts w:eastAsia="Century Schoolbook"/>
        </w:rPr>
        <w:t xml:space="preserve">potentially </w:t>
      </w:r>
      <w:r w:rsidRPr="009F549F">
        <w:rPr>
          <w:rFonts w:eastAsia="Century Schoolbook"/>
        </w:rPr>
        <w:t>reducing taxable income.</w:t>
      </w:r>
      <w:r w:rsidRPr="009F549F">
        <w:rPr>
          <w:rFonts w:eastAsia="Century Schoolbook"/>
          <w:vertAlign w:val="superscript"/>
        </w:rPr>
        <w:footnoteReference w:id="59"/>
      </w:r>
      <w:r w:rsidRPr="009F549F">
        <w:rPr>
          <w:rFonts w:eastAsia="Century Schoolbook"/>
        </w:rPr>
        <w:t xml:space="preserve"> </w:t>
      </w:r>
      <w:r w:rsidRPr="009F549F">
        <w:rPr>
          <w:rFonts w:eastAsia="Century Schoolbook"/>
        </w:rPr>
        <w:lastRenderedPageBreak/>
        <w:t>Holding onto loss properties postpones this deduction, leaving tax payments in the hands of the government.</w:t>
      </w:r>
      <w:r w:rsidRPr="009F549F">
        <w:rPr>
          <w:rFonts w:eastAsia="Century Schoolbook"/>
          <w:vertAlign w:val="superscript"/>
        </w:rPr>
        <w:footnoteReference w:id="60"/>
      </w:r>
      <w:r w:rsidRPr="009F549F">
        <w:rPr>
          <w:rFonts w:eastAsia="Century Schoolbook"/>
        </w:rPr>
        <w:t xml:space="preserve"> In some cases, taxpayers may dispose of investments it would be more efficient to retain solely to harvest their tax benefits sooner.</w:t>
      </w:r>
      <w:bookmarkStart w:id="44" w:name="_Ref115601118"/>
      <w:r w:rsidRPr="009F549F">
        <w:rPr>
          <w:rFonts w:eastAsia="Century Schoolbook"/>
          <w:vertAlign w:val="superscript"/>
        </w:rPr>
        <w:footnoteReference w:id="61"/>
      </w:r>
      <w:bookmarkEnd w:id="44"/>
      <w:r w:rsidRPr="009F549F">
        <w:rPr>
          <w:rFonts w:eastAsia="Century Schoolbook"/>
        </w:rPr>
        <w:t xml:space="preserve"> </w:t>
      </w:r>
    </w:p>
    <w:p w14:paraId="55DE9BBE" w14:textId="143922A7" w:rsidR="007B1344" w:rsidRPr="009F549F" w:rsidRDefault="002347BA">
      <w:pPr>
        <w:spacing w:before="240" w:after="240"/>
        <w:jc w:val="both"/>
        <w:rPr>
          <w:rFonts w:eastAsia="Century Schoolbook"/>
        </w:rPr>
      </w:pPr>
      <w:bookmarkStart w:id="45" w:name="_2jxsxqh" w:colFirst="0" w:colLast="0"/>
      <w:bookmarkEnd w:id="45"/>
      <w:r w:rsidRPr="009F549F">
        <w:rPr>
          <w:rFonts w:eastAsia="Century Schoolbook"/>
        </w:rPr>
        <w:tab/>
        <w:t>Realization not only changes when taxpayers sell property but also affects what they choose to buy in the first place.</w:t>
      </w:r>
      <w:r w:rsidRPr="009F549F">
        <w:rPr>
          <w:rFonts w:eastAsia="Century Schoolbook"/>
          <w:vertAlign w:val="superscript"/>
        </w:rPr>
        <w:footnoteReference w:id="62"/>
      </w:r>
      <w:r w:rsidRPr="009F549F">
        <w:rPr>
          <w:rFonts w:eastAsia="Century Schoolbook"/>
        </w:rPr>
        <w:t xml:space="preserve"> To buy a new asset, </w:t>
      </w:r>
      <w:r w:rsidR="00423759" w:rsidRPr="00036097">
        <w:rPr>
          <w:rFonts w:eastAsia="Century Schoolbook"/>
        </w:rPr>
        <w:t>the taxpayer</w:t>
      </w:r>
      <w:r w:rsidRPr="009F549F">
        <w:rPr>
          <w:rFonts w:eastAsia="Century Schoolbook"/>
        </w:rPr>
        <w:t xml:space="preserve"> often </w:t>
      </w:r>
      <w:r w:rsidRPr="00036097">
        <w:rPr>
          <w:rFonts w:eastAsia="Century Schoolbook"/>
        </w:rPr>
        <w:t>must</w:t>
      </w:r>
      <w:r w:rsidRPr="009F549F">
        <w:rPr>
          <w:rFonts w:eastAsia="Century Schoolbook"/>
        </w:rPr>
        <w:t xml:space="preserve"> sell an existing one. But doing so would result in immediate taxation if the existing asset has gained value while </w:t>
      </w:r>
      <w:r w:rsidR="00423759" w:rsidRPr="00036097">
        <w:rPr>
          <w:rFonts w:eastAsia="Century Schoolbook"/>
        </w:rPr>
        <w:t>the taxpayer</w:t>
      </w:r>
      <w:r w:rsidRPr="009F549F">
        <w:rPr>
          <w:rFonts w:eastAsia="Century Schoolbook"/>
        </w:rPr>
        <w:t xml:space="preserve"> owned it. Often, it is economically rational to refuse to invest in a profitable new opportunity because the present value of switching is less than the cost of paying taxes on the swap. This is </w:t>
      </w:r>
      <w:r w:rsidRPr="00036097">
        <w:rPr>
          <w:rFonts w:eastAsia="Century Schoolbook"/>
        </w:rPr>
        <w:t>what</w:t>
      </w:r>
      <w:r w:rsidR="00146B13" w:rsidRPr="00036097">
        <w:rPr>
          <w:rFonts w:eastAsia="Century Schoolbook"/>
        </w:rPr>
        <w:t xml:space="preserve"> i</w:t>
      </w:r>
      <w:r w:rsidRPr="00036097">
        <w:rPr>
          <w:rFonts w:eastAsia="Century Schoolbook"/>
        </w:rPr>
        <w:t>s</w:t>
      </w:r>
      <w:r w:rsidRPr="009F549F">
        <w:rPr>
          <w:rFonts w:eastAsia="Century Schoolbook"/>
        </w:rPr>
        <w:t xml:space="preserve"> often known as the “lock-in problem.”</w:t>
      </w:r>
      <w:bookmarkStart w:id="46" w:name="_Ref115347143"/>
      <w:r w:rsidRPr="009F549F">
        <w:rPr>
          <w:rFonts w:eastAsia="Century Schoolbook"/>
          <w:vertAlign w:val="superscript"/>
        </w:rPr>
        <w:footnoteReference w:id="63"/>
      </w:r>
      <w:bookmarkEnd w:id="46"/>
      <w:r w:rsidRPr="009F549F">
        <w:rPr>
          <w:rFonts w:eastAsia="Century Schoolbook"/>
        </w:rPr>
        <w:t xml:space="preserve"> </w:t>
      </w:r>
    </w:p>
    <w:p w14:paraId="5809B737" w14:textId="3B23C05F" w:rsidR="007B1344" w:rsidRPr="009F549F" w:rsidRDefault="002347BA">
      <w:pPr>
        <w:spacing w:before="240" w:after="240"/>
        <w:ind w:firstLine="720"/>
        <w:jc w:val="both"/>
        <w:rPr>
          <w:rFonts w:eastAsia="Century Schoolbook"/>
        </w:rPr>
      </w:pPr>
      <w:bookmarkStart w:id="47" w:name="_z337ya" w:colFirst="0" w:colLast="0"/>
      <w:bookmarkEnd w:id="47"/>
      <w:r w:rsidRPr="009F549F">
        <w:rPr>
          <w:rFonts w:eastAsia="Century Schoolbook"/>
        </w:rPr>
        <w:t>Realization also contributes massively to economic inequality,</w:t>
      </w:r>
      <w:bookmarkStart w:id="48" w:name="_Ref115603608"/>
      <w:r w:rsidRPr="009F549F">
        <w:rPr>
          <w:rFonts w:eastAsia="Century Schoolbook"/>
          <w:vertAlign w:val="superscript"/>
        </w:rPr>
        <w:footnoteReference w:id="64"/>
      </w:r>
      <w:bookmarkEnd w:id="48"/>
      <w:r w:rsidRPr="009F549F">
        <w:rPr>
          <w:rFonts w:eastAsia="Century Schoolbook"/>
        </w:rPr>
        <w:t xml:space="preserve"> </w:t>
      </w:r>
      <w:r w:rsidR="00D973F5">
        <w:rPr>
          <w:rFonts w:eastAsia="Century Schoolbook"/>
        </w:rPr>
        <w:t xml:space="preserve">and holds back </w:t>
      </w:r>
      <w:r w:rsidRPr="00036097">
        <w:rPr>
          <w:rFonts w:eastAsia="Century Schoolbook"/>
        </w:rPr>
        <w:t>historically</w:t>
      </w:r>
      <w:r w:rsidRPr="009F549F">
        <w:rPr>
          <w:rFonts w:eastAsia="Century Schoolbook"/>
        </w:rPr>
        <w:t xml:space="preserve"> disadvantaged racial minorities and other historically disadvantaged groups.</w:t>
      </w:r>
      <w:r w:rsidRPr="009F549F">
        <w:rPr>
          <w:rFonts w:eastAsia="Century Schoolbook"/>
          <w:vertAlign w:val="superscript"/>
        </w:rPr>
        <w:footnoteReference w:id="65"/>
      </w:r>
      <w:r w:rsidRPr="009F549F">
        <w:rPr>
          <w:rFonts w:eastAsia="Century Schoolbook"/>
        </w:rPr>
        <w:t xml:space="preserve"> In granting investors, and only investors, the option when (and in many cases, ultimately whether) to pay tax, realization principles disproportionately benefit those who hold investment assets or who can borrow at favorable rates to obtain investment assets.</w:t>
      </w:r>
      <w:bookmarkStart w:id="49" w:name="_Ref115346456"/>
      <w:r w:rsidRPr="009F549F">
        <w:rPr>
          <w:rFonts w:eastAsia="Century Schoolbook"/>
          <w:vertAlign w:val="superscript"/>
        </w:rPr>
        <w:footnoteReference w:id="66"/>
      </w:r>
      <w:bookmarkEnd w:id="49"/>
      <w:r w:rsidRPr="009F549F">
        <w:rPr>
          <w:rFonts w:eastAsia="Century Schoolbook"/>
        </w:rPr>
        <w:t xml:space="preserve"> In the United States, nearly all that </w:t>
      </w:r>
      <w:r w:rsidRPr="009F549F">
        <w:rPr>
          <w:rFonts w:eastAsia="Century Schoolbook"/>
        </w:rPr>
        <w:lastRenderedPageBreak/>
        <w:t>benefit goes only to the very richest taxpayers. For example, about 90</w:t>
      </w:r>
      <w:r w:rsidR="0049791F" w:rsidRPr="00036097">
        <w:rPr>
          <w:rFonts w:eastAsia="Century Schoolbook"/>
        </w:rPr>
        <w:t xml:space="preserve"> percent</w:t>
      </w:r>
      <w:r w:rsidRPr="009F549F">
        <w:rPr>
          <w:rFonts w:eastAsia="Century Schoolbook"/>
        </w:rPr>
        <w:t xml:space="preserve"> of all U.S. individual stock ownership is concentrated among the wealthiest 10</w:t>
      </w:r>
      <w:r w:rsidR="0049791F" w:rsidRPr="00036097">
        <w:rPr>
          <w:rFonts w:eastAsia="Century Schoolbook"/>
        </w:rPr>
        <w:t xml:space="preserve"> percent</w:t>
      </w:r>
      <w:r w:rsidRPr="009F549F">
        <w:rPr>
          <w:rFonts w:eastAsia="Century Schoolbook"/>
        </w:rPr>
        <w:t xml:space="preserve"> of Americans.</w:t>
      </w:r>
      <w:r w:rsidRPr="009F549F">
        <w:rPr>
          <w:rFonts w:eastAsia="Century Schoolbook"/>
          <w:vertAlign w:val="superscript"/>
        </w:rPr>
        <w:footnoteReference w:id="67"/>
      </w:r>
      <w:r w:rsidRPr="009F549F">
        <w:rPr>
          <w:rFonts w:eastAsia="Century Schoolbook"/>
        </w:rPr>
        <w:t xml:space="preserve"> Recent reporting has highlighted the fact that some of the world’s richest people, such as Jeff Bezos, have reported close to zero taxable income in some recent tax years.</w:t>
      </w:r>
      <w:r w:rsidRPr="009F549F">
        <w:rPr>
          <w:rFonts w:eastAsia="Century Schoolbook"/>
          <w:vertAlign w:val="superscript"/>
        </w:rPr>
        <w:footnoteReference w:id="68"/>
      </w:r>
      <w:r w:rsidRPr="009F549F">
        <w:rPr>
          <w:rFonts w:eastAsia="Century Schoolbook"/>
        </w:rPr>
        <w:t xml:space="preserve"> That was possible, even as </w:t>
      </w:r>
      <w:r w:rsidRPr="00036097">
        <w:rPr>
          <w:rFonts w:eastAsia="Century Schoolbook"/>
        </w:rPr>
        <w:t>Bezos’</w:t>
      </w:r>
      <w:r w:rsidR="0001573A">
        <w:rPr>
          <w:rFonts w:eastAsia="Century Schoolbook"/>
        </w:rPr>
        <w:t>s</w:t>
      </w:r>
      <w:r w:rsidRPr="009F549F">
        <w:rPr>
          <w:rFonts w:eastAsia="Century Schoolbook"/>
        </w:rPr>
        <w:t xml:space="preserve"> wealth was launching into orbit, because the realization rule did not oblige Bezos to treat his gains as taxable income. To pay his bills, he was probably able to borrow against his existing stock holdings because borrowed funds are not taxable income either.</w:t>
      </w:r>
      <w:bookmarkStart w:id="50" w:name="_Ref119427076"/>
      <w:r w:rsidR="00B87B0C">
        <w:rPr>
          <w:rFonts w:ascii="Century Schoolbook" w:eastAsia="Century Schoolbook" w:hAnsi="Century Schoolbook" w:cs="Century Schoolbook"/>
        </w:rPr>
        <w:t xml:space="preserve"> These sorts of tax gaming strategies are commonly used by ultra-wealthy taxpayers, and, as a result, scholars estimate that more than three quarters of the true investment gains of </w:t>
      </w:r>
      <w:r w:rsidR="002010F9">
        <w:rPr>
          <w:rFonts w:ascii="Century Schoolbook" w:eastAsia="Century Schoolbook" w:hAnsi="Century Schoolbook" w:cs="Century Schoolbook"/>
        </w:rPr>
        <w:t>ultra-wealthy individuals and families fully and permanently escape income taxation.</w:t>
      </w:r>
      <w:r w:rsidR="00837A7C">
        <w:rPr>
          <w:rStyle w:val="FootnoteReference"/>
          <w:rFonts w:ascii="Century Schoolbook" w:eastAsia="Century Schoolbook" w:hAnsi="Century Schoolbook" w:cs="Century Schoolbook"/>
        </w:rPr>
        <w:footnoteReference w:id="69"/>
      </w:r>
      <w:r>
        <w:rPr>
          <w:rFonts w:ascii="Century Schoolbook" w:eastAsia="Century Schoolbook" w:hAnsi="Century Schoolbook" w:cs="Century Schoolbook"/>
        </w:rPr>
        <w:t xml:space="preserve"> </w:t>
      </w:r>
      <w:bookmarkEnd w:id="50"/>
    </w:p>
    <w:p w14:paraId="07C6A81A" w14:textId="5984EE14" w:rsidR="007B1344" w:rsidRPr="009F549F" w:rsidRDefault="002347BA">
      <w:pPr>
        <w:spacing w:before="240" w:after="240"/>
        <w:ind w:firstLine="720"/>
        <w:jc w:val="both"/>
        <w:rPr>
          <w:rFonts w:eastAsia="Century Schoolbook"/>
        </w:rPr>
      </w:pPr>
      <w:r w:rsidRPr="009F549F">
        <w:rPr>
          <w:rFonts w:eastAsia="Century Schoolbook"/>
        </w:rPr>
        <w:t xml:space="preserve">Even when wealthy investors do realize their gains, they pay a lower rate of tax on them than many other taxpayers. Like many other countries, the </w:t>
      </w:r>
      <w:r w:rsidRPr="00036097">
        <w:rPr>
          <w:rFonts w:eastAsia="Century Schoolbook"/>
        </w:rPr>
        <w:t>U</w:t>
      </w:r>
      <w:r w:rsidR="00971F6A" w:rsidRPr="00036097">
        <w:rPr>
          <w:rFonts w:eastAsia="Century Schoolbook"/>
        </w:rPr>
        <w:t>nited States</w:t>
      </w:r>
      <w:r w:rsidRPr="009F549F">
        <w:rPr>
          <w:rFonts w:eastAsia="Century Schoolbook"/>
        </w:rPr>
        <w:t xml:space="preserve"> imposes a lower rate on “capital gains,” which are generally profits from the sale of investments; currently the effective tax rate on investments for top earners is 23.8</w:t>
      </w:r>
      <w:r w:rsidR="000E0C27" w:rsidRPr="00036097">
        <w:rPr>
          <w:rFonts w:eastAsia="Century Schoolbook"/>
        </w:rPr>
        <w:t xml:space="preserve"> percent</w:t>
      </w:r>
      <w:r w:rsidRPr="009F549F">
        <w:rPr>
          <w:rFonts w:eastAsia="Century Schoolbook"/>
        </w:rPr>
        <w:t>, versus 37</w:t>
      </w:r>
      <w:r w:rsidR="000E0C27" w:rsidRPr="00036097">
        <w:rPr>
          <w:rFonts w:eastAsia="Century Schoolbook"/>
        </w:rPr>
        <w:t xml:space="preserve"> percent</w:t>
      </w:r>
      <w:r w:rsidRPr="009F549F">
        <w:rPr>
          <w:rFonts w:eastAsia="Century Schoolbook"/>
        </w:rPr>
        <w:t xml:space="preserve"> for wage income. The lower capital gains rate is </w:t>
      </w:r>
      <w:r w:rsidRPr="009F549F">
        <w:rPr>
          <w:rFonts w:eastAsia="Century Schoolbook"/>
        </w:rPr>
        <w:lastRenderedPageBreak/>
        <w:t>a compromise necessitated by the lock-in problem.</w:t>
      </w:r>
      <w:r w:rsidRPr="009F549F">
        <w:rPr>
          <w:rFonts w:eastAsia="Century Schoolbook"/>
          <w:vertAlign w:val="superscript"/>
        </w:rPr>
        <w:footnoteReference w:id="70"/>
      </w:r>
      <w:r w:rsidRPr="009F549F">
        <w:rPr>
          <w:rFonts w:eastAsia="Century Schoolbook"/>
        </w:rPr>
        <w:t xml:space="preserve"> We offer investors a break on their taxes so that they will be willing to sell an appreciated asset rather than continue to hold it until death. That reduces the economic drag caused by investors’ accumulated decisions not to switch from low-performing but appreciated investments to stronger investments that would drive greater economic growth.</w:t>
      </w:r>
      <w:r w:rsidRPr="009F549F">
        <w:rPr>
          <w:rFonts w:eastAsia="Century Schoolbook"/>
          <w:vertAlign w:val="superscript"/>
        </w:rPr>
        <w:footnoteReference w:id="71"/>
      </w:r>
      <w:r w:rsidRPr="009F549F">
        <w:rPr>
          <w:rFonts w:eastAsia="Century Schoolbook"/>
        </w:rPr>
        <w:t xml:space="preserve"> But, of course, </w:t>
      </w:r>
      <w:r w:rsidR="004E63DE" w:rsidRPr="00036097">
        <w:rPr>
          <w:rFonts w:eastAsia="Century Schoolbook"/>
        </w:rPr>
        <w:t xml:space="preserve">because </w:t>
      </w:r>
      <w:r w:rsidRPr="009F549F">
        <w:rPr>
          <w:rFonts w:eastAsia="Century Schoolbook"/>
        </w:rPr>
        <w:t xml:space="preserve">it is mostly rich taxpayers who hold highly appreciated investments, we buy this economic growth at the cost of greater inequality.  </w:t>
      </w:r>
    </w:p>
    <w:p w14:paraId="6B2BAF3B" w14:textId="7D17716D" w:rsidR="007B1344" w:rsidRPr="009F549F" w:rsidRDefault="002347BA">
      <w:pPr>
        <w:spacing w:before="240" w:after="240"/>
        <w:ind w:firstLine="720"/>
        <w:jc w:val="both"/>
        <w:rPr>
          <w:rFonts w:eastAsia="Century Schoolbook"/>
        </w:rPr>
      </w:pPr>
      <w:bookmarkStart w:id="51" w:name="_3j2qqm3" w:colFirst="0" w:colLast="0"/>
      <w:bookmarkEnd w:id="51"/>
      <w:r w:rsidRPr="009F549F">
        <w:rPr>
          <w:rFonts w:eastAsia="Century Schoolbook"/>
        </w:rPr>
        <w:t xml:space="preserve">Lastly, implementing a workable realization system </w:t>
      </w:r>
      <w:r w:rsidR="00D973F5">
        <w:rPr>
          <w:rFonts w:eastAsia="Century Schoolbook"/>
        </w:rPr>
        <w:t>makes the income tax system much more complex</w:t>
      </w:r>
      <w:r w:rsidRPr="009F549F">
        <w:rPr>
          <w:rFonts w:eastAsia="Century Schoolbook"/>
        </w:rPr>
        <w:t>, which in turn contributes to further inequality.</w:t>
      </w:r>
      <w:bookmarkStart w:id="52" w:name="_Ref115602097"/>
      <w:r w:rsidRPr="009F549F">
        <w:rPr>
          <w:rFonts w:eastAsia="Century Schoolbook"/>
          <w:vertAlign w:val="superscript"/>
        </w:rPr>
        <w:footnoteReference w:id="72"/>
      </w:r>
      <w:bookmarkEnd w:id="52"/>
      <w:r w:rsidRPr="009F549F">
        <w:rPr>
          <w:rFonts w:eastAsia="Century Schoolbook"/>
        </w:rPr>
        <w:t xml:space="preserve"> Among other issues, realization requires complex rules for determining when a sale has actually occurred</w:t>
      </w:r>
      <w:bookmarkStart w:id="53" w:name="_Ref115458196"/>
      <w:r w:rsidRPr="009F549F">
        <w:rPr>
          <w:rFonts w:eastAsia="Century Schoolbook"/>
          <w:vertAlign w:val="superscript"/>
        </w:rPr>
        <w:footnoteReference w:id="73"/>
      </w:r>
      <w:bookmarkEnd w:id="53"/>
      <w:r w:rsidRPr="009F549F">
        <w:rPr>
          <w:rFonts w:eastAsia="Century Schoolbook"/>
        </w:rPr>
        <w:t xml:space="preserve"> </w:t>
      </w:r>
      <w:r w:rsidR="00C740AC" w:rsidRPr="00036097">
        <w:rPr>
          <w:rFonts w:eastAsia="Century Schoolbook"/>
        </w:rPr>
        <w:t>and</w:t>
      </w:r>
      <w:r w:rsidRPr="009F549F">
        <w:rPr>
          <w:rFonts w:eastAsia="Century Schoolbook"/>
        </w:rPr>
        <w:t xml:space="preserve"> which assets should receive favorable capital gains rates</w:t>
      </w:r>
      <w:r w:rsidR="007E483A">
        <w:rPr>
          <w:rFonts w:eastAsia="Century Schoolbook"/>
        </w:rPr>
        <w:t>,</w:t>
      </w:r>
      <w:r w:rsidRPr="009F549F">
        <w:rPr>
          <w:rFonts w:eastAsia="Century Schoolbook"/>
          <w:vertAlign w:val="superscript"/>
        </w:rPr>
        <w:footnoteReference w:id="74"/>
      </w:r>
      <w:r w:rsidRPr="009F549F">
        <w:rPr>
          <w:rFonts w:eastAsia="Century Schoolbook"/>
        </w:rPr>
        <w:t xml:space="preserve"> and</w:t>
      </w:r>
      <w:r w:rsidRPr="00036097">
        <w:rPr>
          <w:rFonts w:eastAsia="Century Schoolbook"/>
        </w:rPr>
        <w:t xml:space="preserve"> </w:t>
      </w:r>
      <w:r w:rsidR="007E483A">
        <w:rPr>
          <w:rFonts w:eastAsia="Century Schoolbook"/>
        </w:rPr>
        <w:t>it</w:t>
      </w:r>
      <w:r w:rsidRPr="009F549F">
        <w:rPr>
          <w:rFonts w:eastAsia="Century Schoolbook"/>
        </w:rPr>
        <w:t xml:space="preserve"> has inspired a host of even more complex special exceptions for favored transactions, such as corporate reorganizations.</w:t>
      </w:r>
      <w:r w:rsidRPr="009F549F">
        <w:rPr>
          <w:rFonts w:eastAsia="Century Schoolbook"/>
          <w:vertAlign w:val="superscript"/>
        </w:rPr>
        <w:footnoteReference w:id="75"/>
      </w:r>
      <w:r w:rsidRPr="009F549F">
        <w:rPr>
          <w:rFonts w:eastAsia="Century Schoolbook"/>
        </w:rPr>
        <w:t xml:space="preserve">    </w:t>
      </w:r>
    </w:p>
    <w:p w14:paraId="05EE56B5" w14:textId="77777777" w:rsidR="007B1344" w:rsidRPr="009F549F" w:rsidRDefault="002347BA">
      <w:pPr>
        <w:pStyle w:val="Heading1"/>
        <w:rPr>
          <w:rFonts w:ascii="Times New Roman" w:hAnsi="Times New Roman"/>
          <w:b w:val="0"/>
          <w:smallCaps/>
          <w:sz w:val="24"/>
        </w:rPr>
      </w:pPr>
      <w:bookmarkStart w:id="54" w:name="_Ref119423793"/>
      <w:bookmarkStart w:id="55" w:name="_Toc115088929"/>
      <w:bookmarkStart w:id="56" w:name="_Toc120019825"/>
      <w:r w:rsidRPr="009F549F">
        <w:rPr>
          <w:rFonts w:ascii="Times New Roman" w:hAnsi="Times New Roman"/>
          <w:b w:val="0"/>
          <w:smallCaps/>
          <w:sz w:val="24"/>
        </w:rPr>
        <w:t>II. Partial Solutions to the Valuation Challenge</w:t>
      </w:r>
      <w:bookmarkEnd w:id="54"/>
      <w:bookmarkEnd w:id="55"/>
      <w:bookmarkEnd w:id="56"/>
    </w:p>
    <w:p w14:paraId="2381235D" w14:textId="23BEE181" w:rsidR="007B1344" w:rsidRPr="009F549F" w:rsidRDefault="002347BA">
      <w:pPr>
        <w:spacing w:before="240" w:after="240"/>
        <w:ind w:firstLine="720"/>
        <w:jc w:val="both"/>
        <w:rPr>
          <w:rFonts w:eastAsia="Century Schoolbook"/>
        </w:rPr>
      </w:pPr>
      <w:r w:rsidRPr="009F549F">
        <w:rPr>
          <w:rFonts w:eastAsia="Century Schoolbook"/>
        </w:rPr>
        <w:t xml:space="preserve">In this Part we survey existing responses to the challenges posed by valuation and the related issues caused by liquidity concerns and realization rules. Most of these proposals have been subject to extensive criticism, with many smart </w:t>
      </w:r>
      <w:r w:rsidRPr="009F549F">
        <w:rPr>
          <w:rFonts w:eastAsia="Century Schoolbook"/>
        </w:rPr>
        <w:lastRenderedPageBreak/>
        <w:t xml:space="preserve">commentators proclaiming them unworkable. </w:t>
      </w:r>
      <w:r w:rsidRPr="00036097">
        <w:rPr>
          <w:rFonts w:eastAsia="Century Schoolbook"/>
        </w:rPr>
        <w:t>We</w:t>
      </w:r>
      <w:r w:rsidR="00904E45" w:rsidRPr="00036097">
        <w:rPr>
          <w:rFonts w:eastAsia="Century Schoolbook"/>
        </w:rPr>
        <w:t xml:space="preserve"> wi</w:t>
      </w:r>
      <w:r w:rsidRPr="00036097">
        <w:rPr>
          <w:rFonts w:eastAsia="Century Schoolbook"/>
        </w:rPr>
        <w:t>ll</w:t>
      </w:r>
      <w:r w:rsidRPr="009F549F">
        <w:rPr>
          <w:rFonts w:eastAsia="Century Schoolbook"/>
        </w:rPr>
        <w:t xml:space="preserve"> argue that many of these efforts actually work quite well</w:t>
      </w:r>
      <w:r w:rsidR="00904E45" w:rsidRPr="00036097">
        <w:rPr>
          <w:rFonts w:eastAsia="Century Schoolbook"/>
        </w:rPr>
        <w:t>,</w:t>
      </w:r>
      <w:r w:rsidRPr="009F549F">
        <w:rPr>
          <w:rFonts w:eastAsia="Century Schoolbook"/>
        </w:rPr>
        <w:t xml:space="preserve"> at least for some core cases. That is, in some contexts the valuation problem is more easily solved than modern commentators have mostly assumed. We acknowledge, though, that all </w:t>
      </w:r>
      <w:r w:rsidR="000F45AD">
        <w:rPr>
          <w:rFonts w:eastAsia="Century Schoolbook"/>
        </w:rPr>
        <w:t xml:space="preserve">of </w:t>
      </w:r>
      <w:r w:rsidRPr="009F549F">
        <w:rPr>
          <w:rFonts w:eastAsia="Century Schoolbook"/>
        </w:rPr>
        <w:t xml:space="preserve">these attempts leave significant room for improvement. In the next two Parts, we show how some of the best features of each of these past ideas can be combined to address most major criticisms of any one of them individually. As we will explain, our proposed ULTRA method is in many respects a hybrid combination of key aspects of the existing responses that we will survey in this Part. </w:t>
      </w:r>
    </w:p>
    <w:p w14:paraId="2C3676CF" w14:textId="77777777" w:rsidR="007B1344" w:rsidRPr="009F549F" w:rsidRDefault="002347BA">
      <w:pPr>
        <w:pStyle w:val="Heading2"/>
        <w:rPr>
          <w:rFonts w:ascii="Times New Roman" w:hAnsi="Times New Roman"/>
          <w:sz w:val="24"/>
        </w:rPr>
      </w:pPr>
      <w:bookmarkStart w:id="57" w:name="_Ref119431093"/>
      <w:bookmarkStart w:id="58" w:name="_Toc115088930"/>
      <w:bookmarkStart w:id="59" w:name="_Toc120019826"/>
      <w:r w:rsidRPr="009F549F">
        <w:rPr>
          <w:rFonts w:ascii="Times New Roman" w:hAnsi="Times New Roman"/>
          <w:i/>
          <w:sz w:val="24"/>
        </w:rPr>
        <w:t>A.</w:t>
      </w:r>
      <w:r w:rsidRPr="009F549F">
        <w:rPr>
          <w:rFonts w:ascii="Times New Roman" w:hAnsi="Times New Roman"/>
          <w:i/>
          <w:sz w:val="24"/>
        </w:rPr>
        <w:tab/>
        <w:t>Taxing Under the Lamppost: Wealth and Mark-to-Market Taxes Around the World</w:t>
      </w:r>
      <w:bookmarkEnd w:id="57"/>
      <w:bookmarkEnd w:id="58"/>
      <w:bookmarkEnd w:id="59"/>
    </w:p>
    <w:p w14:paraId="4078BCBD" w14:textId="5BE68CAE" w:rsidR="007B1344" w:rsidRPr="009F549F" w:rsidRDefault="002347BA">
      <w:pPr>
        <w:spacing w:before="240" w:after="240"/>
        <w:ind w:firstLine="720"/>
        <w:jc w:val="both"/>
        <w:rPr>
          <w:rFonts w:eastAsia="Century Schoolbook"/>
        </w:rPr>
      </w:pPr>
      <w:r w:rsidRPr="009F549F">
        <w:rPr>
          <w:rFonts w:eastAsia="Century Schoolbook"/>
        </w:rPr>
        <w:t>One simple solution to the valuation problem would be only to tax assets that are easy to value. That sounds like a bad plan; why would anyone buy a taxed asset when an untaxed one is available? But if it is costly or otherwise difficult to substitute untaxed assets for those subject to tax, the plan starts to look better. Better still, imagine that the government has two different tools for determining taxable value</w:t>
      </w:r>
      <w:r w:rsidR="00D973F5">
        <w:rPr>
          <w:rFonts w:eastAsia="Century Schoolbook"/>
        </w:rPr>
        <w:t xml:space="preserve">. One is easy to escape, because it covers only </w:t>
      </w:r>
      <w:r w:rsidRPr="009F549F">
        <w:rPr>
          <w:rFonts w:eastAsia="Century Schoolbook"/>
        </w:rPr>
        <w:t>certain easy-to-value assets</w:t>
      </w:r>
      <w:r w:rsidR="00D973F5">
        <w:rPr>
          <w:rFonts w:eastAsia="Century Schoolbook"/>
        </w:rPr>
        <w:t>.</w:t>
      </w:r>
      <w:r w:rsidRPr="009F549F">
        <w:rPr>
          <w:rFonts w:eastAsia="Century Schoolbook"/>
        </w:rPr>
        <w:t xml:space="preserve"> </w:t>
      </w:r>
      <w:r w:rsidR="00D973F5">
        <w:rPr>
          <w:rFonts w:eastAsia="Century Schoolbook"/>
        </w:rPr>
        <w:t>T</w:t>
      </w:r>
      <w:r w:rsidRPr="009F549F">
        <w:rPr>
          <w:rFonts w:eastAsia="Century Schoolbook"/>
        </w:rPr>
        <w:t xml:space="preserve">he other </w:t>
      </w:r>
      <w:r w:rsidR="00D973F5">
        <w:rPr>
          <w:rFonts w:eastAsia="Century Schoolbook"/>
        </w:rPr>
        <w:t xml:space="preserve">enables the government to tax hard-to-value assets, but still </w:t>
      </w:r>
      <w:r w:rsidRPr="009F549F">
        <w:rPr>
          <w:rFonts w:eastAsia="Century Schoolbook"/>
        </w:rPr>
        <w:t xml:space="preserve">allows taxpayers to </w:t>
      </w:r>
      <w:r w:rsidR="00D973F5">
        <w:rPr>
          <w:rFonts w:eastAsia="Century Schoolbook"/>
        </w:rPr>
        <w:t>avoid</w:t>
      </w:r>
      <w:r w:rsidR="00D973F5" w:rsidRPr="009F549F">
        <w:rPr>
          <w:rFonts w:eastAsia="Century Schoolbook"/>
        </w:rPr>
        <w:t xml:space="preserve"> </w:t>
      </w:r>
      <w:r w:rsidRPr="009F549F">
        <w:rPr>
          <w:rFonts w:eastAsia="Century Schoolbook"/>
        </w:rPr>
        <w:t xml:space="preserve">part of the tax. If </w:t>
      </w:r>
      <w:r w:rsidR="00D973F5">
        <w:rPr>
          <w:rFonts w:ascii="Century Schoolbook" w:eastAsia="Century Schoolbook" w:hAnsi="Century Schoolbook" w:cs="Century Schoolbook"/>
        </w:rPr>
        <w:t>it's</w:t>
      </w:r>
      <w:r w:rsidRPr="009F549F">
        <w:rPr>
          <w:rFonts w:eastAsia="Century Schoolbook"/>
        </w:rPr>
        <w:t xml:space="preserve"> </w:t>
      </w:r>
      <w:r w:rsidR="0025540D">
        <w:rPr>
          <w:rFonts w:eastAsia="Century Schoolbook"/>
        </w:rPr>
        <w:t xml:space="preserve">at least </w:t>
      </w:r>
      <w:r w:rsidRPr="009F549F">
        <w:rPr>
          <w:rFonts w:eastAsia="Century Schoolbook"/>
        </w:rPr>
        <w:t xml:space="preserve">a little bit costly to </w:t>
      </w:r>
      <w:r w:rsidR="00D973F5">
        <w:rPr>
          <w:rFonts w:eastAsia="Century Schoolbook"/>
        </w:rPr>
        <w:t>hold hard-to-value</w:t>
      </w:r>
      <w:r w:rsidRPr="009F549F">
        <w:rPr>
          <w:rFonts w:eastAsia="Century Schoolbook"/>
        </w:rPr>
        <w:t xml:space="preserve"> asset</w:t>
      </w:r>
      <w:r w:rsidR="00D973F5">
        <w:rPr>
          <w:rFonts w:eastAsia="Century Schoolbook"/>
        </w:rPr>
        <w:t>s</w:t>
      </w:r>
      <w:r w:rsidRPr="009F549F">
        <w:rPr>
          <w:rFonts w:eastAsia="Century Schoolbook"/>
        </w:rPr>
        <w:t>,</w:t>
      </w:r>
      <w:r w:rsidR="00D973F5">
        <w:rPr>
          <w:rFonts w:eastAsia="Century Schoolbook"/>
        </w:rPr>
        <w:t xml:space="preserve"> and the tax</w:t>
      </w:r>
      <w:r w:rsidR="008C06F5">
        <w:rPr>
          <w:rFonts w:eastAsia="Century Schoolbook"/>
        </w:rPr>
        <w:t xml:space="preserve"> savings from switching are also </w:t>
      </w:r>
      <w:proofErr w:type="gramStart"/>
      <w:r w:rsidR="008C06F5">
        <w:rPr>
          <w:rFonts w:eastAsia="Century Schoolbook"/>
        </w:rPr>
        <w:t>small,</w:t>
      </w:r>
      <w:r w:rsidR="00D973F5">
        <w:rPr>
          <w:rFonts w:eastAsia="Century Schoolbook"/>
        </w:rPr>
        <w:t xml:space="preserve"> </w:t>
      </w:r>
      <w:r w:rsidRPr="009F549F">
        <w:rPr>
          <w:rFonts w:eastAsia="Century Schoolbook"/>
        </w:rPr>
        <w:t xml:space="preserve"> there</w:t>
      </w:r>
      <w:proofErr w:type="gramEnd"/>
      <w:r w:rsidRPr="009F549F">
        <w:rPr>
          <w:rFonts w:eastAsia="Century Schoolbook"/>
        </w:rPr>
        <w:t xml:space="preserve"> might not be much reason for taxpayers to switch. This is the basic intuition for what </w:t>
      </w:r>
      <w:r w:rsidRPr="00036097">
        <w:rPr>
          <w:rFonts w:eastAsia="Century Schoolbook"/>
        </w:rPr>
        <w:t>we</w:t>
      </w:r>
      <w:r w:rsidR="004E0B81" w:rsidRPr="00036097">
        <w:rPr>
          <w:rFonts w:eastAsia="Century Schoolbook"/>
        </w:rPr>
        <w:t xml:space="preserve"> wi</w:t>
      </w:r>
      <w:r w:rsidRPr="00036097">
        <w:rPr>
          <w:rFonts w:eastAsia="Century Schoolbook"/>
        </w:rPr>
        <w:t>ll</w:t>
      </w:r>
      <w:r w:rsidRPr="009F549F">
        <w:rPr>
          <w:rFonts w:eastAsia="Century Schoolbook"/>
        </w:rPr>
        <w:t xml:space="preserve"> call the under-the-lamppost valuation solution: just tax the items where value is the easiest to see. </w:t>
      </w:r>
      <w:r w:rsidR="008C06F5">
        <w:rPr>
          <w:rFonts w:ascii="Century Schoolbook" w:eastAsia="Century Schoolbook" w:hAnsi="Century Schoolbook" w:cs="Century Schoolbook"/>
        </w:rPr>
        <w:t>We'll</w:t>
      </w:r>
      <w:r w:rsidRPr="009F549F">
        <w:rPr>
          <w:rFonts w:eastAsia="Century Schoolbook"/>
        </w:rPr>
        <w:t xml:space="preserve"> now lay out these points in a bit more detail.   </w:t>
      </w:r>
    </w:p>
    <w:p w14:paraId="72ED7AD2" w14:textId="2EDE4DE8" w:rsidR="007B1344" w:rsidRPr="009F549F" w:rsidRDefault="002347BA">
      <w:pPr>
        <w:spacing w:before="240" w:after="240"/>
        <w:ind w:firstLine="720"/>
        <w:jc w:val="both"/>
        <w:rPr>
          <w:rFonts w:eastAsia="Century Schoolbook"/>
        </w:rPr>
      </w:pPr>
      <w:bookmarkStart w:id="60" w:name="_2xcytpi" w:colFirst="0" w:colLast="0"/>
      <w:bookmarkEnd w:id="60"/>
      <w:r w:rsidRPr="009F549F">
        <w:rPr>
          <w:rFonts w:eastAsia="Century Schoolbook"/>
        </w:rPr>
        <w:t>Quite a few jurisdictions, especially in Europe but also including South Korea and Pakistan, have applied versions of the under-the-lamppost solution.</w:t>
      </w:r>
      <w:bookmarkStart w:id="61" w:name="_Ref115157070"/>
      <w:r w:rsidRPr="009F549F">
        <w:rPr>
          <w:rFonts w:eastAsia="Century Schoolbook"/>
          <w:vertAlign w:val="superscript"/>
        </w:rPr>
        <w:footnoteReference w:id="76"/>
      </w:r>
      <w:bookmarkEnd w:id="61"/>
      <w:r w:rsidRPr="009F549F">
        <w:rPr>
          <w:rFonts w:eastAsia="Century Schoolbook"/>
        </w:rPr>
        <w:t xml:space="preserve"> These countries have imposed taxes directly on individual wealth. In the typical “wealth tax,” the taxpaying household adds up the total value of all their assets (or </w:t>
      </w:r>
      <w:r w:rsidRPr="009F549F">
        <w:rPr>
          <w:rFonts w:eastAsia="Century Schoolbook"/>
        </w:rPr>
        <w:lastRenderedPageBreak/>
        <w:t>a subset of those assets), then pays a fraction of that value each year.</w:t>
      </w:r>
      <w:r w:rsidRPr="009F549F">
        <w:rPr>
          <w:rFonts w:eastAsia="Century Schoolbook"/>
          <w:vertAlign w:val="superscript"/>
        </w:rPr>
        <w:footnoteReference w:id="77"/>
      </w:r>
      <w:r w:rsidRPr="009F549F">
        <w:rPr>
          <w:rFonts w:eastAsia="Century Schoolbook"/>
        </w:rPr>
        <w:t xml:space="preserve"> This system</w:t>
      </w:r>
      <w:r w:rsidRPr="00036097">
        <w:rPr>
          <w:rFonts w:eastAsia="Century Schoolbook"/>
        </w:rPr>
        <w:t xml:space="preserve"> </w:t>
      </w:r>
      <w:r w:rsidR="0009200A">
        <w:rPr>
          <w:rFonts w:eastAsia="Century Schoolbook"/>
        </w:rPr>
        <w:t>is also</w:t>
      </w:r>
      <w:r w:rsidR="0009200A" w:rsidRPr="009F549F">
        <w:rPr>
          <w:rFonts w:eastAsia="Century Schoolbook"/>
        </w:rPr>
        <w:t xml:space="preserve"> </w:t>
      </w:r>
      <w:r w:rsidRPr="009F549F">
        <w:rPr>
          <w:rFonts w:eastAsia="Century Schoolbook"/>
        </w:rPr>
        <w:t>familiar to anyone who has seen a local property tax bill in the United States. Of course, taxing wealth annually obliges the taxing authority to determine the value of noncash assets. To minimize this problem</w:t>
      </w:r>
      <w:r w:rsidR="00F62EDF" w:rsidRPr="00036097">
        <w:rPr>
          <w:rFonts w:eastAsia="Century Schoolbook"/>
        </w:rPr>
        <w:t>,</w:t>
      </w:r>
      <w:r w:rsidRPr="009F549F">
        <w:rPr>
          <w:rFonts w:eastAsia="Century Schoolbook"/>
        </w:rPr>
        <w:t xml:space="preserve"> many regimes simply exempt </w:t>
      </w:r>
      <w:r w:rsidR="00077298">
        <w:rPr>
          <w:rFonts w:eastAsia="Century Schoolbook"/>
        </w:rPr>
        <w:t xml:space="preserve">from taxation </w:t>
      </w:r>
      <w:r w:rsidRPr="009F549F">
        <w:rPr>
          <w:rFonts w:eastAsia="Century Schoolbook"/>
        </w:rPr>
        <w:t>assets that are hard to value.</w:t>
      </w:r>
      <w:r w:rsidRPr="009F549F">
        <w:rPr>
          <w:rFonts w:eastAsia="Century Schoolbook"/>
          <w:vertAlign w:val="superscript"/>
        </w:rPr>
        <w:footnoteReference w:id="78"/>
      </w:r>
      <w:r w:rsidRPr="009F549F">
        <w:rPr>
          <w:rFonts w:eastAsia="Century Schoolbook"/>
        </w:rPr>
        <w:t xml:space="preserve"> For example, </w:t>
      </w:r>
      <w:r w:rsidR="008C06F5">
        <w:rPr>
          <w:rFonts w:eastAsia="Century Schoolbook"/>
        </w:rPr>
        <w:t>some</w:t>
      </w:r>
      <w:r w:rsidR="008C06F5" w:rsidRPr="009F549F">
        <w:rPr>
          <w:rFonts w:eastAsia="Century Schoolbook"/>
        </w:rPr>
        <w:t xml:space="preserve"> </w:t>
      </w:r>
      <w:r w:rsidRPr="009F549F">
        <w:rPr>
          <w:rFonts w:eastAsia="Century Schoolbook"/>
        </w:rPr>
        <w:t>European countries only tax cash and publicly</w:t>
      </w:r>
      <w:r w:rsidR="00523905" w:rsidRPr="00036097">
        <w:rPr>
          <w:rFonts w:eastAsia="Century Schoolbook"/>
        </w:rPr>
        <w:t xml:space="preserve"> </w:t>
      </w:r>
      <w:r w:rsidRPr="009F549F">
        <w:rPr>
          <w:rFonts w:eastAsia="Century Schoolbook"/>
        </w:rPr>
        <w:t>traded assets.</w:t>
      </w:r>
      <w:bookmarkStart w:id="62" w:name="_Ref120264344"/>
      <w:r w:rsidRPr="009F549F">
        <w:rPr>
          <w:rFonts w:eastAsia="Century Schoolbook"/>
          <w:vertAlign w:val="superscript"/>
        </w:rPr>
        <w:footnoteReference w:id="79"/>
      </w:r>
      <w:bookmarkEnd w:id="62"/>
      <w:r w:rsidRPr="009F549F">
        <w:rPr>
          <w:rFonts w:eastAsia="Century Schoolbook"/>
        </w:rPr>
        <w:t xml:space="preserve"> A white paper from two prominent tax</w:t>
      </w:r>
      <w:r w:rsidR="00523905" w:rsidRPr="00036097">
        <w:rPr>
          <w:rFonts w:eastAsia="Century Schoolbook"/>
        </w:rPr>
        <w:t xml:space="preserve"> </w:t>
      </w:r>
      <w:r w:rsidRPr="009F549F">
        <w:rPr>
          <w:rFonts w:eastAsia="Century Schoolbook"/>
        </w:rPr>
        <w:t xml:space="preserve">policy commentators, Eric </w:t>
      </w:r>
      <w:proofErr w:type="spellStart"/>
      <w:r w:rsidRPr="009F549F">
        <w:rPr>
          <w:rFonts w:eastAsia="Century Schoolbook"/>
        </w:rPr>
        <w:t>Toder</w:t>
      </w:r>
      <w:proofErr w:type="spellEnd"/>
      <w:r w:rsidRPr="009F549F">
        <w:rPr>
          <w:rFonts w:eastAsia="Century Schoolbook"/>
        </w:rPr>
        <w:t xml:space="preserve"> and Alan </w:t>
      </w:r>
      <w:proofErr w:type="spellStart"/>
      <w:r w:rsidRPr="009F549F">
        <w:rPr>
          <w:rFonts w:eastAsia="Century Schoolbook"/>
        </w:rPr>
        <w:t>Viard</w:t>
      </w:r>
      <w:proofErr w:type="spellEnd"/>
      <w:r w:rsidRPr="009F549F">
        <w:rPr>
          <w:rFonts w:eastAsia="Century Schoolbook"/>
        </w:rPr>
        <w:t>, similarly proffers a version of a U.S. mark-to-market tax limited to traded assets.</w:t>
      </w:r>
      <w:r w:rsidRPr="009F549F">
        <w:rPr>
          <w:rFonts w:eastAsia="Century Schoolbook"/>
          <w:vertAlign w:val="superscript"/>
        </w:rPr>
        <w:footnoteReference w:id="80"/>
      </w:r>
      <w:r w:rsidRPr="009F549F">
        <w:rPr>
          <w:rFonts w:eastAsia="Century Schoolbook"/>
        </w:rPr>
        <w:t xml:space="preserve"> </w:t>
      </w:r>
    </w:p>
    <w:p w14:paraId="1B8DB42A" w14:textId="102594F3" w:rsidR="007B1344" w:rsidRPr="009F549F" w:rsidRDefault="002347BA">
      <w:pPr>
        <w:spacing w:before="240" w:after="240"/>
        <w:ind w:firstLine="720"/>
        <w:jc w:val="both"/>
        <w:rPr>
          <w:rFonts w:eastAsia="Century Schoolbook"/>
        </w:rPr>
      </w:pPr>
      <w:r w:rsidRPr="009F549F">
        <w:rPr>
          <w:rFonts w:eastAsia="Century Schoolbook"/>
        </w:rPr>
        <w:t>The federal income tax in the United States also pursues a similar mark-to-market strategy for certain securities.</w:t>
      </w:r>
      <w:r w:rsidRPr="009F549F">
        <w:rPr>
          <w:rFonts w:eastAsia="Century Schoolbook"/>
          <w:vertAlign w:val="superscript"/>
        </w:rPr>
        <w:footnoteReference w:id="81"/>
      </w:r>
      <w:r w:rsidRPr="009F549F">
        <w:rPr>
          <w:rFonts w:eastAsia="Century Schoolbook"/>
        </w:rPr>
        <w:t xml:space="preserve"> Subject to a few technical limitations, taxpayers who hold certain forms of derivatives that are traded regularly on an exchange (or certain dealers in derivatives) are taxed each year as though the derivatives had been sold for their value on the last day of the year.</w:t>
      </w:r>
      <w:r w:rsidRPr="009F549F">
        <w:rPr>
          <w:rFonts w:eastAsia="Century Schoolbook"/>
          <w:vertAlign w:val="superscript"/>
        </w:rPr>
        <w:footnoteReference w:id="82"/>
      </w:r>
      <w:r w:rsidRPr="009F549F">
        <w:rPr>
          <w:rFonts w:eastAsia="Century Schoolbook"/>
        </w:rPr>
        <w:t xml:space="preserve"> If the taxpayer </w:t>
      </w:r>
      <w:r w:rsidRPr="009F549F">
        <w:rPr>
          <w:rFonts w:eastAsia="Century Schoolbook"/>
        </w:rPr>
        <w:lastRenderedPageBreak/>
        <w:t xml:space="preserve">still holds the asset at the end of the next year, </w:t>
      </w:r>
      <w:r w:rsidR="00A55E36">
        <w:rPr>
          <w:rFonts w:eastAsia="Century Schoolbook"/>
        </w:rPr>
        <w:t>they</w:t>
      </w:r>
      <w:r w:rsidR="00A55E36" w:rsidRPr="00036097">
        <w:rPr>
          <w:rFonts w:eastAsia="Century Schoolbook"/>
        </w:rPr>
        <w:t xml:space="preserve"> </w:t>
      </w:r>
      <w:r w:rsidR="00A55E36">
        <w:rPr>
          <w:rFonts w:eastAsia="Century Schoolbook"/>
        </w:rPr>
        <w:t>are</w:t>
      </w:r>
      <w:r w:rsidRPr="009F549F">
        <w:rPr>
          <w:rFonts w:eastAsia="Century Schoolbook"/>
        </w:rPr>
        <w:t xml:space="preserve"> treated as though </w:t>
      </w:r>
      <w:r w:rsidR="00A55E36">
        <w:rPr>
          <w:rFonts w:eastAsia="Century Schoolbook"/>
        </w:rPr>
        <w:t>they</w:t>
      </w:r>
      <w:r w:rsidR="00A55E36" w:rsidRPr="00036097">
        <w:rPr>
          <w:rFonts w:eastAsia="Century Schoolbook"/>
        </w:rPr>
        <w:t xml:space="preserve"> </w:t>
      </w:r>
      <w:r w:rsidRPr="009F549F">
        <w:rPr>
          <w:rFonts w:eastAsia="Century Schoolbook"/>
        </w:rPr>
        <w:t>had sold it and then immediately repurchased it the year before. Since an income tax imposes tax only on net profits, not the whole value of an asset, in effect the taxpayer will have annual income or losses equal to the asset’s change in value during the current tax year.</w:t>
      </w:r>
    </w:p>
    <w:p w14:paraId="26457C10" w14:textId="05983AF4" w:rsidR="007B1344" w:rsidRPr="009F549F" w:rsidRDefault="002347BA">
      <w:pPr>
        <w:spacing w:before="240" w:after="240"/>
        <w:ind w:firstLine="720"/>
        <w:jc w:val="both"/>
        <w:rPr>
          <w:rFonts w:eastAsia="Century Schoolbook"/>
        </w:rPr>
      </w:pPr>
      <w:r w:rsidRPr="009F549F">
        <w:rPr>
          <w:rFonts w:eastAsia="Century Schoolbook"/>
        </w:rPr>
        <w:t>A standard critique of these approaches is that they can be highly distortionary.</w:t>
      </w:r>
      <w:r w:rsidRPr="009F549F">
        <w:rPr>
          <w:rFonts w:eastAsia="Century Schoolbook"/>
          <w:vertAlign w:val="superscript"/>
        </w:rPr>
        <w:footnoteReference w:id="83"/>
      </w:r>
      <w:r w:rsidRPr="009F549F">
        <w:rPr>
          <w:rFonts w:eastAsia="Century Schoolbook"/>
        </w:rPr>
        <w:t xml:space="preserve"> All else equal, if publicly</w:t>
      </w:r>
      <w:r w:rsidR="003253F3" w:rsidRPr="00036097">
        <w:rPr>
          <w:rFonts w:eastAsia="Century Schoolbook"/>
        </w:rPr>
        <w:t xml:space="preserve"> </w:t>
      </w:r>
      <w:r w:rsidRPr="009F549F">
        <w:rPr>
          <w:rFonts w:eastAsia="Century Schoolbook"/>
        </w:rPr>
        <w:t>traded stock is subject to wealth or mark-to-market taxes but privately</w:t>
      </w:r>
      <w:r w:rsidR="003253F3" w:rsidRPr="00036097">
        <w:rPr>
          <w:rFonts w:eastAsia="Century Schoolbook"/>
        </w:rPr>
        <w:t xml:space="preserve"> </w:t>
      </w:r>
      <w:r w:rsidRPr="009F549F">
        <w:rPr>
          <w:rFonts w:eastAsia="Century Schoolbook"/>
        </w:rPr>
        <w:t>owned equity is not, we should expect that an investor who would otherwise be indifferent between the two to put her money into private equity instead of the public firm.</w:t>
      </w:r>
      <w:r w:rsidRPr="009F549F">
        <w:rPr>
          <w:rFonts w:eastAsia="Century Schoolbook"/>
          <w:vertAlign w:val="superscript"/>
        </w:rPr>
        <w:footnoteReference w:id="84"/>
      </w:r>
      <w:r w:rsidRPr="009F549F">
        <w:rPr>
          <w:rFonts w:eastAsia="Century Schoolbook"/>
        </w:rPr>
        <w:t xml:space="preserve"> Again, when tax changes economic actors’ decisions on this scale, it can have large effects on economic growth as investors choose less</w:t>
      </w:r>
      <w:r w:rsidR="00C3150C" w:rsidRPr="00036097">
        <w:rPr>
          <w:rFonts w:eastAsia="Century Schoolbook"/>
        </w:rPr>
        <w:t xml:space="preserve"> </w:t>
      </w:r>
      <w:r w:rsidRPr="009F549F">
        <w:rPr>
          <w:rFonts w:eastAsia="Century Schoolbook"/>
        </w:rPr>
        <w:t xml:space="preserve">productive but more lightly taxed assets. </w:t>
      </w:r>
    </w:p>
    <w:p w14:paraId="52B52C41" w14:textId="34F0186A" w:rsidR="007B1344" w:rsidRPr="009F549F" w:rsidRDefault="002347BA">
      <w:pPr>
        <w:spacing w:before="240" w:after="240"/>
        <w:ind w:firstLine="720"/>
        <w:jc w:val="both"/>
        <w:rPr>
          <w:rFonts w:eastAsia="Century Schoolbook"/>
        </w:rPr>
      </w:pPr>
      <w:bookmarkStart w:id="63" w:name="_1ci93xb" w:colFirst="0" w:colLast="0"/>
      <w:bookmarkEnd w:id="63"/>
      <w:r w:rsidRPr="009F549F">
        <w:rPr>
          <w:rFonts w:eastAsia="Century Schoolbook"/>
        </w:rPr>
        <w:t>The size of these effects depends importantly on “elasticities,” or how responsive economic actors are to tax rules.</w:t>
      </w:r>
      <w:r w:rsidRPr="009F549F">
        <w:rPr>
          <w:rFonts w:eastAsia="Century Schoolbook"/>
          <w:vertAlign w:val="superscript"/>
        </w:rPr>
        <w:footnoteReference w:id="85"/>
      </w:r>
      <w:r w:rsidRPr="009F549F">
        <w:rPr>
          <w:rFonts w:eastAsia="Century Schoolbook"/>
        </w:rPr>
        <w:t xml:space="preserve"> </w:t>
      </w:r>
      <w:r w:rsidR="000611B1">
        <w:rPr>
          <w:rFonts w:eastAsia="Century Schoolbook"/>
        </w:rPr>
        <w:t>The e</w:t>
      </w:r>
      <w:r w:rsidRPr="00036097">
        <w:rPr>
          <w:rFonts w:eastAsia="Century Schoolbook"/>
        </w:rPr>
        <w:t>vidence o</w:t>
      </w:r>
      <w:r w:rsidR="000611B1">
        <w:rPr>
          <w:rFonts w:eastAsia="Century Schoolbook"/>
        </w:rPr>
        <w:t>n</w:t>
      </w:r>
      <w:r w:rsidRPr="009F549F">
        <w:rPr>
          <w:rFonts w:eastAsia="Century Schoolbook"/>
        </w:rPr>
        <w:t xml:space="preserve"> whether a partial wealth tax would cause serious economic distortions is fairly mixed.</w:t>
      </w:r>
      <w:bookmarkStart w:id="64" w:name="_Ref115729465"/>
      <w:r w:rsidRPr="009F549F">
        <w:rPr>
          <w:rFonts w:eastAsia="Century Schoolbook"/>
          <w:vertAlign w:val="superscript"/>
        </w:rPr>
        <w:footnoteReference w:id="86"/>
      </w:r>
      <w:bookmarkEnd w:id="64"/>
      <w:r w:rsidRPr="009F549F">
        <w:rPr>
          <w:rFonts w:eastAsia="Century Schoolbook"/>
        </w:rPr>
        <w:t xml:space="preserve"> Further complicating matters, these elasticities </w:t>
      </w:r>
      <w:r w:rsidR="000611B1">
        <w:rPr>
          <w:rFonts w:eastAsia="Century Schoolbook"/>
        </w:rPr>
        <w:t xml:space="preserve">often </w:t>
      </w:r>
      <w:r w:rsidRPr="009F549F">
        <w:rPr>
          <w:rFonts w:eastAsia="Century Schoolbook"/>
        </w:rPr>
        <w:t>depend importantly on other legal rules and social arrangements.</w:t>
      </w:r>
      <w:r w:rsidRPr="009F549F">
        <w:rPr>
          <w:rFonts w:eastAsia="Century Schoolbook"/>
          <w:vertAlign w:val="superscript"/>
        </w:rPr>
        <w:footnoteReference w:id="87"/>
      </w:r>
      <w:r w:rsidRPr="009F549F">
        <w:rPr>
          <w:rFonts w:eastAsia="Century Schoolbook"/>
        </w:rPr>
        <w:t xml:space="preserve"> </w:t>
      </w:r>
    </w:p>
    <w:p w14:paraId="0B6FAD88" w14:textId="356395A2" w:rsidR="007B1344" w:rsidRPr="009F549F" w:rsidRDefault="002347BA">
      <w:pPr>
        <w:spacing w:before="240" w:after="240"/>
        <w:ind w:firstLine="720"/>
        <w:jc w:val="both"/>
        <w:rPr>
          <w:rFonts w:eastAsia="Century Schoolbook"/>
        </w:rPr>
      </w:pPr>
      <w:r w:rsidRPr="009F549F">
        <w:rPr>
          <w:rFonts w:eastAsia="Century Schoolbook"/>
        </w:rPr>
        <w:t xml:space="preserve">While we </w:t>
      </w:r>
      <w:r w:rsidR="00EE459C">
        <w:rPr>
          <w:rFonts w:ascii="Century Schoolbook" w:eastAsia="Century Schoolbook" w:hAnsi="Century Schoolbook" w:cs="Century Schoolbook"/>
        </w:rPr>
        <w:t>don't</w:t>
      </w:r>
      <w:r w:rsidRPr="009F549F">
        <w:rPr>
          <w:rFonts w:eastAsia="Century Schoolbook"/>
        </w:rPr>
        <w:t xml:space="preserve"> deny that differentiated wealth taxes undoubtedly cause some economic dislocations, the amount of the distortion matters a great deal. Both imposing and failing to impose wealth taxes represent tradeoffs. A traditional realization-based tax system itself has highly damaging side</w:t>
      </w:r>
      <w:r w:rsidR="00E10D96" w:rsidRPr="00036097">
        <w:rPr>
          <w:rFonts w:eastAsia="Century Schoolbook"/>
        </w:rPr>
        <w:t xml:space="preserve"> </w:t>
      </w:r>
      <w:r w:rsidRPr="009F549F">
        <w:rPr>
          <w:rFonts w:eastAsia="Century Schoolbook"/>
        </w:rPr>
        <w:t xml:space="preserve">effects, ranging from lock-in to exacerbated economic inequality. The relevant policy framing for wealth or mark-to-market taxes, then, should not be whether they avoid any distortions but </w:t>
      </w:r>
      <w:r w:rsidRPr="009F549F">
        <w:rPr>
          <w:rFonts w:eastAsia="Century Schoolbook"/>
        </w:rPr>
        <w:lastRenderedPageBreak/>
        <w:t>instead whether on net their combination of advantages and disadvantages is preferable to a pure realization-based system.</w:t>
      </w:r>
      <w:r w:rsidRPr="009F549F">
        <w:rPr>
          <w:rFonts w:eastAsia="Century Schoolbook"/>
          <w:vertAlign w:val="superscript"/>
        </w:rPr>
        <w:footnoteReference w:id="88"/>
      </w:r>
      <w:r w:rsidRPr="009F549F">
        <w:rPr>
          <w:rFonts w:eastAsia="Century Schoolbook"/>
        </w:rPr>
        <w:t xml:space="preserve">                                                                                                    </w:t>
      </w:r>
    </w:p>
    <w:p w14:paraId="5660EDCE" w14:textId="5895AC7B" w:rsidR="007B1344" w:rsidRPr="009F549F" w:rsidRDefault="002347BA">
      <w:pPr>
        <w:spacing w:before="240" w:after="240"/>
        <w:ind w:firstLine="720"/>
        <w:jc w:val="both"/>
        <w:rPr>
          <w:rFonts w:eastAsia="Century Schoolbook"/>
        </w:rPr>
      </w:pPr>
      <w:r w:rsidRPr="009F549F">
        <w:rPr>
          <w:rFonts w:eastAsia="Century Schoolbook"/>
        </w:rPr>
        <w:t xml:space="preserve">We think </w:t>
      </w:r>
      <w:r w:rsidRPr="00036097">
        <w:rPr>
          <w:rFonts w:eastAsia="Century Schoolbook"/>
        </w:rPr>
        <w:t>it</w:t>
      </w:r>
      <w:r w:rsidR="0075445A" w:rsidRPr="00036097">
        <w:rPr>
          <w:rFonts w:eastAsia="Century Schoolbook"/>
        </w:rPr>
        <w:t xml:space="preserve"> i</w:t>
      </w:r>
      <w:r w:rsidRPr="00036097">
        <w:rPr>
          <w:rFonts w:eastAsia="Century Schoolbook"/>
        </w:rPr>
        <w:t>s</w:t>
      </w:r>
      <w:r w:rsidRPr="009F549F">
        <w:rPr>
          <w:rFonts w:eastAsia="Century Schoolbook"/>
        </w:rPr>
        <w:t xml:space="preserve"> plausible that limiting annual taxes just to select assets, such as publicly</w:t>
      </w:r>
      <w:r w:rsidR="003C03DA" w:rsidRPr="00036097">
        <w:rPr>
          <w:rFonts w:eastAsia="Century Schoolbook"/>
        </w:rPr>
        <w:t xml:space="preserve"> </w:t>
      </w:r>
      <w:r w:rsidRPr="009F549F">
        <w:rPr>
          <w:rFonts w:eastAsia="Century Schoolbook"/>
        </w:rPr>
        <w:t xml:space="preserve">traded stock, can still be an improvement over a pure realization system. Because realization </w:t>
      </w:r>
      <w:r w:rsidR="006748EF">
        <w:rPr>
          <w:rFonts w:eastAsia="Century Schoolbook"/>
        </w:rPr>
        <w:t>damages</w:t>
      </w:r>
      <w:r w:rsidRPr="009F549F">
        <w:rPr>
          <w:rFonts w:eastAsia="Century Schoolbook"/>
        </w:rPr>
        <w:t xml:space="preserve"> an economy in so many ways, beating a realization-based system is not a high bar to clear. Marking publicly traded assets to market, for instance, would at least eliminate the lock-in problem with respect to those assets and</w:t>
      </w:r>
      <w:r w:rsidR="00CB65FD" w:rsidRPr="00036097">
        <w:rPr>
          <w:rFonts w:eastAsia="Century Schoolbook"/>
        </w:rPr>
        <w:t>,</w:t>
      </w:r>
      <w:r w:rsidRPr="009F549F">
        <w:rPr>
          <w:rFonts w:eastAsia="Century Schoolbook"/>
        </w:rPr>
        <w:t xml:space="preserve"> in the United States</w:t>
      </w:r>
      <w:r w:rsidR="00CB65FD" w:rsidRPr="00036097">
        <w:rPr>
          <w:rFonts w:eastAsia="Century Schoolbook"/>
        </w:rPr>
        <w:t>,</w:t>
      </w:r>
      <w:r w:rsidRPr="009F549F">
        <w:rPr>
          <w:rFonts w:eastAsia="Century Schoolbook"/>
        </w:rPr>
        <w:t xml:space="preserve"> end the inequality-spawning practice of exempting investment gains on inherited wealth. As long as </w:t>
      </w:r>
      <w:r w:rsidR="009D6733">
        <w:rPr>
          <w:rFonts w:eastAsia="Century Schoolbook"/>
        </w:rPr>
        <w:t xml:space="preserve">these benefits are larger than </w:t>
      </w:r>
      <w:r w:rsidRPr="009F549F">
        <w:rPr>
          <w:rFonts w:eastAsia="Century Schoolbook"/>
        </w:rPr>
        <w:t xml:space="preserve">the distortions </w:t>
      </w:r>
      <w:r w:rsidR="006748EF">
        <w:rPr>
          <w:rFonts w:eastAsia="Century Schoolbook"/>
        </w:rPr>
        <w:t xml:space="preserve">that </w:t>
      </w:r>
      <w:r w:rsidRPr="009F549F">
        <w:rPr>
          <w:rFonts w:eastAsia="Century Schoolbook"/>
        </w:rPr>
        <w:t>efforts to shift away from publicly</w:t>
      </w:r>
      <w:r w:rsidR="00CB65FD" w:rsidRPr="00036097">
        <w:rPr>
          <w:rFonts w:eastAsia="Century Schoolbook"/>
        </w:rPr>
        <w:t xml:space="preserve"> </w:t>
      </w:r>
      <w:r w:rsidRPr="009F549F">
        <w:rPr>
          <w:rFonts w:eastAsia="Century Schoolbook"/>
        </w:rPr>
        <w:t xml:space="preserve">traded assets </w:t>
      </w:r>
      <w:r w:rsidR="009D6733">
        <w:rPr>
          <w:rFonts w:eastAsia="Century Schoolbook"/>
        </w:rPr>
        <w:t xml:space="preserve">produce, </w:t>
      </w:r>
      <w:r w:rsidRPr="009F549F">
        <w:rPr>
          <w:rFonts w:eastAsia="Century Schoolbook"/>
        </w:rPr>
        <w:t xml:space="preserve">the policy </w:t>
      </w:r>
      <w:r w:rsidRPr="00036097">
        <w:rPr>
          <w:rFonts w:eastAsia="Century Schoolbook"/>
        </w:rPr>
        <w:t>w</w:t>
      </w:r>
      <w:r w:rsidR="009D6733">
        <w:rPr>
          <w:rFonts w:eastAsia="Century Schoolbook"/>
        </w:rPr>
        <w:t xml:space="preserve">ill </w:t>
      </w:r>
      <w:r w:rsidRPr="009F549F">
        <w:rPr>
          <w:rFonts w:eastAsia="Century Schoolbook"/>
        </w:rPr>
        <w:t xml:space="preserve">be advantageous on net. </w:t>
      </w:r>
    </w:p>
    <w:p w14:paraId="5F8FE8E7" w14:textId="6952BAFA" w:rsidR="007B1344" w:rsidRPr="009F549F" w:rsidRDefault="002347BA">
      <w:pPr>
        <w:spacing w:before="240" w:after="240"/>
        <w:ind w:firstLine="720"/>
        <w:jc w:val="both"/>
        <w:rPr>
          <w:rFonts w:eastAsia="Century Schoolbook"/>
        </w:rPr>
      </w:pPr>
      <w:bookmarkStart w:id="65" w:name="_3whwml4" w:colFirst="0" w:colLast="0"/>
      <w:bookmarkEnd w:id="65"/>
      <w:r w:rsidRPr="00036097">
        <w:rPr>
          <w:rFonts w:eastAsia="Century Schoolbook"/>
        </w:rPr>
        <w:t>It</w:t>
      </w:r>
      <w:r w:rsidR="00CB65FD" w:rsidRPr="00036097">
        <w:rPr>
          <w:rFonts w:eastAsia="Century Schoolbook"/>
        </w:rPr>
        <w:t xml:space="preserve"> i</w:t>
      </w:r>
      <w:r w:rsidRPr="00036097">
        <w:rPr>
          <w:rFonts w:eastAsia="Century Schoolbook"/>
        </w:rPr>
        <w:t>s</w:t>
      </w:r>
      <w:r w:rsidRPr="009F549F">
        <w:rPr>
          <w:rFonts w:eastAsia="Century Schoolbook"/>
        </w:rPr>
        <w:t xml:space="preserve"> instructive to consider the global popularity of other highly differentiated taxes: sales and value-added taxes </w:t>
      </w:r>
      <w:r w:rsidRPr="00036097">
        <w:rPr>
          <w:rFonts w:eastAsia="Century Schoolbook"/>
        </w:rPr>
        <w:t>(</w:t>
      </w:r>
      <w:r w:rsidR="00CB65FD" w:rsidRPr="00036097">
        <w:rPr>
          <w:rFonts w:eastAsia="Century Schoolbook"/>
        </w:rPr>
        <w:t>“</w:t>
      </w:r>
      <w:r w:rsidRPr="009F549F">
        <w:rPr>
          <w:rFonts w:eastAsia="Century Schoolbook"/>
        </w:rPr>
        <w:t>VATs</w:t>
      </w:r>
      <w:r w:rsidR="00CB65FD" w:rsidRPr="00036097">
        <w:rPr>
          <w:rFonts w:eastAsia="Century Schoolbook"/>
        </w:rPr>
        <w:t>”</w:t>
      </w:r>
      <w:r w:rsidRPr="00036097">
        <w:rPr>
          <w:rFonts w:eastAsia="Century Schoolbook"/>
        </w:rPr>
        <w:t>).</w:t>
      </w:r>
      <w:r w:rsidRPr="009F549F">
        <w:rPr>
          <w:rFonts w:eastAsia="Century Schoolbook"/>
          <w:vertAlign w:val="superscript"/>
        </w:rPr>
        <w:footnoteReference w:id="89"/>
      </w:r>
      <w:r w:rsidRPr="009F549F">
        <w:rPr>
          <w:rFonts w:eastAsia="Century Schoolbook"/>
        </w:rPr>
        <w:t xml:space="preserve"> Most global economies raise a significant share of revenue from either a VAT or, in the United States, sales taxes.</w:t>
      </w:r>
      <w:bookmarkStart w:id="66" w:name="_Ref115781899"/>
      <w:r w:rsidRPr="009F549F">
        <w:rPr>
          <w:rFonts w:eastAsia="Century Schoolbook"/>
          <w:vertAlign w:val="superscript"/>
        </w:rPr>
        <w:footnoteReference w:id="90"/>
      </w:r>
      <w:bookmarkEnd w:id="66"/>
      <w:r w:rsidRPr="009F549F">
        <w:rPr>
          <w:rFonts w:eastAsia="Century Schoolbook"/>
        </w:rPr>
        <w:t xml:space="preserve"> VATs and sales taxes usually exempt many services, as well as necessities such as food and rent, which implies that they likely distort consumer choices between taxed and untaxed purchases.</w:t>
      </w:r>
      <w:bookmarkStart w:id="67" w:name="_Ref115806517"/>
      <w:r w:rsidRPr="009F549F">
        <w:rPr>
          <w:rFonts w:eastAsia="Century Schoolbook"/>
          <w:vertAlign w:val="superscript"/>
        </w:rPr>
        <w:footnoteReference w:id="91"/>
      </w:r>
      <w:bookmarkEnd w:id="67"/>
      <w:r w:rsidRPr="009F549F">
        <w:rPr>
          <w:rFonts w:eastAsia="Century Schoolbook"/>
        </w:rPr>
        <w:t xml:space="preserve"> Moreover, they are regressive in at least one important sense</w:t>
      </w:r>
      <w:r w:rsidR="00C123E7" w:rsidRPr="00036097">
        <w:rPr>
          <w:rFonts w:eastAsia="Century Schoolbook"/>
        </w:rPr>
        <w:t xml:space="preserve"> because </w:t>
      </w:r>
      <w:r w:rsidRPr="009F549F">
        <w:rPr>
          <w:rFonts w:eastAsia="Century Schoolbook"/>
        </w:rPr>
        <w:t>they are imposed at uniform rates on each purchase and wealthy households consume a smaller fraction of their lifetime earnings than the poor.</w:t>
      </w:r>
      <w:r w:rsidRPr="009F549F">
        <w:rPr>
          <w:rFonts w:eastAsia="Century Schoolbook"/>
          <w:vertAlign w:val="superscript"/>
        </w:rPr>
        <w:footnoteReference w:id="92"/>
      </w:r>
      <w:r w:rsidRPr="009F549F">
        <w:rPr>
          <w:rFonts w:eastAsia="Century Schoolbook"/>
        </w:rPr>
        <w:t xml:space="preserve"> Yet, based on their widespread popularity, the general view seems to be that they represent a worthwhile tradeoff for every society. Some </w:t>
      </w:r>
      <w:r w:rsidRPr="009F549F">
        <w:rPr>
          <w:rFonts w:eastAsia="Century Schoolbook"/>
        </w:rPr>
        <w:lastRenderedPageBreak/>
        <w:t>economists even argue that these kinds of retail taxes are a useful way to tax wealth</w:t>
      </w:r>
      <w:r w:rsidR="00FE4FB7" w:rsidRPr="00036097">
        <w:rPr>
          <w:rFonts w:eastAsia="Century Schoolbook"/>
        </w:rPr>
        <w:t xml:space="preserve"> because </w:t>
      </w:r>
      <w:r w:rsidRPr="009F549F">
        <w:rPr>
          <w:rFonts w:eastAsia="Century Schoolbook"/>
        </w:rPr>
        <w:t>they in effect allow the government to collect taxes on a portion of the wealth that was accumulated before the tax was enacted.</w:t>
      </w:r>
      <w:r w:rsidRPr="009F549F">
        <w:rPr>
          <w:rFonts w:eastAsia="Century Schoolbook"/>
          <w:vertAlign w:val="superscript"/>
        </w:rPr>
        <w:footnoteReference w:id="93"/>
      </w:r>
      <w:r w:rsidRPr="009F549F">
        <w:rPr>
          <w:rFonts w:eastAsia="Century Schoolbook"/>
        </w:rPr>
        <w:t xml:space="preserve">          </w:t>
      </w:r>
    </w:p>
    <w:p w14:paraId="2EE6C36E" w14:textId="121BAD07" w:rsidR="007B1344" w:rsidRPr="009F549F" w:rsidRDefault="002347BA">
      <w:pPr>
        <w:spacing w:before="240" w:after="240"/>
        <w:ind w:firstLine="720"/>
        <w:jc w:val="both"/>
        <w:rPr>
          <w:rFonts w:eastAsia="Century Schoolbook"/>
        </w:rPr>
      </w:pPr>
      <w:bookmarkStart w:id="68" w:name="_2bn6wsx" w:colFirst="0" w:colLast="0"/>
      <w:bookmarkEnd w:id="68"/>
      <w:r w:rsidRPr="009F549F">
        <w:rPr>
          <w:rFonts w:eastAsia="Century Schoolbook"/>
        </w:rPr>
        <w:t>In prior work, we have identified another useful feature of retail taxes that they might share with a wealth or mark-to-market system: they are more efficient when they serve as complements to an existing income tax.</w:t>
      </w:r>
      <w:bookmarkStart w:id="69" w:name="_Ref115624124"/>
      <w:r w:rsidRPr="009F549F">
        <w:rPr>
          <w:rFonts w:eastAsia="Century Schoolbook"/>
          <w:vertAlign w:val="superscript"/>
        </w:rPr>
        <w:footnoteReference w:id="94"/>
      </w:r>
      <w:bookmarkEnd w:id="69"/>
      <w:r w:rsidRPr="009F549F">
        <w:rPr>
          <w:rFonts w:eastAsia="Century Schoolbook"/>
        </w:rPr>
        <w:t xml:space="preserve"> In general, the economic damage or “deadweight loss” of a tax system rises exponentially with its effective rate; doubling the tax more than doubles the distortions.</w:t>
      </w:r>
      <w:r w:rsidRPr="009F549F">
        <w:rPr>
          <w:rFonts w:eastAsia="Century Schoolbook"/>
          <w:vertAlign w:val="superscript"/>
        </w:rPr>
        <w:footnoteReference w:id="95"/>
      </w:r>
      <w:r w:rsidRPr="009F549F">
        <w:rPr>
          <w:rFonts w:eastAsia="Century Schoolbook"/>
        </w:rPr>
        <w:t xml:space="preserve"> </w:t>
      </w:r>
      <w:r w:rsidRPr="00036097">
        <w:rPr>
          <w:rFonts w:eastAsia="Century Schoolbook"/>
        </w:rPr>
        <w:t>It</w:t>
      </w:r>
      <w:r w:rsidR="00AB0BD5" w:rsidRPr="00036097">
        <w:rPr>
          <w:rFonts w:eastAsia="Century Schoolbook"/>
        </w:rPr>
        <w:t xml:space="preserve"> is</w:t>
      </w:r>
      <w:r w:rsidRPr="009F549F">
        <w:rPr>
          <w:rFonts w:eastAsia="Century Schoolbook"/>
        </w:rPr>
        <w:t xml:space="preserve"> therefore potentially efficient to take one large tax, such as the income tax, and to split it up into two or more smaller taxes</w:t>
      </w:r>
      <w:r w:rsidR="00B53B79">
        <w:rPr>
          <w:rFonts w:ascii="Century Schoolbook" w:eastAsia="Century Schoolbook" w:hAnsi="Century Schoolbook" w:cs="Century Schoolbook"/>
        </w:rPr>
        <w:t>—</w:t>
      </w:r>
      <w:r w:rsidR="00AB0BD5" w:rsidRPr="00036097">
        <w:rPr>
          <w:rFonts w:eastAsia="Century Schoolbook"/>
        </w:rPr>
        <w:t>—</w:t>
      </w:r>
      <w:r w:rsidRPr="009F549F">
        <w:rPr>
          <w:rFonts w:eastAsia="Century Schoolbook"/>
        </w:rPr>
        <w:t>say, a lower-rate income tax plus a VAT.</w:t>
      </w:r>
      <w:r w:rsidRPr="009F549F">
        <w:rPr>
          <w:rFonts w:eastAsia="Century Schoolbook"/>
          <w:vertAlign w:val="superscript"/>
        </w:rPr>
        <w:footnoteReference w:id="96"/>
      </w:r>
      <w:r w:rsidRPr="009F549F">
        <w:rPr>
          <w:rFonts w:eastAsia="Century Schoolbook"/>
        </w:rPr>
        <w:t xml:space="preserve"> Of course, this </w:t>
      </w:r>
      <w:r w:rsidR="00EE459C">
        <w:rPr>
          <w:rFonts w:ascii="Century Schoolbook" w:eastAsia="Century Schoolbook" w:hAnsi="Century Schoolbook" w:cs="Century Schoolbook"/>
        </w:rPr>
        <w:t>doesn't</w:t>
      </w:r>
      <w:r w:rsidRPr="009F549F">
        <w:rPr>
          <w:rFonts w:eastAsia="Century Schoolbook"/>
        </w:rPr>
        <w:t xml:space="preserve"> work if the two taxes in effect burden the exact same behaviors; then in reality there is still only one tax.</w:t>
      </w:r>
      <w:r w:rsidRPr="009F549F">
        <w:rPr>
          <w:rFonts w:eastAsia="Century Schoolbook"/>
          <w:vertAlign w:val="superscript"/>
        </w:rPr>
        <w:footnoteReference w:id="97"/>
      </w:r>
      <w:r w:rsidRPr="009F549F">
        <w:rPr>
          <w:rFonts w:eastAsia="Century Schoolbook"/>
        </w:rPr>
        <w:t xml:space="preserve"> But evidence suggests </w:t>
      </w:r>
      <w:r w:rsidR="00E72DDB">
        <w:rPr>
          <w:rFonts w:eastAsia="Century Schoolbook"/>
        </w:rPr>
        <w:t xml:space="preserve">that </w:t>
      </w:r>
      <w:r w:rsidRPr="009F549F">
        <w:rPr>
          <w:rFonts w:eastAsia="Century Schoolbook"/>
        </w:rPr>
        <w:t xml:space="preserve">taxpayers respond differently to the income tax than they do to </w:t>
      </w:r>
      <w:r w:rsidR="00693EE1">
        <w:rPr>
          <w:rFonts w:eastAsia="Century Schoolbook"/>
        </w:rPr>
        <w:t>a</w:t>
      </w:r>
      <w:r w:rsidRPr="009F549F">
        <w:rPr>
          <w:rFonts w:eastAsia="Century Schoolbook"/>
        </w:rPr>
        <w:t xml:space="preserve"> VAT or a sales tax.</w:t>
      </w:r>
      <w:bookmarkStart w:id="70" w:name="_Ref115643055"/>
      <w:r w:rsidRPr="009F549F">
        <w:rPr>
          <w:rFonts w:eastAsia="Century Schoolbook"/>
          <w:vertAlign w:val="superscript"/>
        </w:rPr>
        <w:footnoteReference w:id="98"/>
      </w:r>
      <w:bookmarkEnd w:id="70"/>
      <w:r w:rsidRPr="009F549F">
        <w:rPr>
          <w:rFonts w:eastAsia="Century Schoolbook"/>
        </w:rPr>
        <w:t xml:space="preserve"> Thus, adopting a VAT alongside an income tax, and lowering the income</w:t>
      </w:r>
      <w:r w:rsidR="00BE595D" w:rsidRPr="00036097">
        <w:rPr>
          <w:rFonts w:eastAsia="Century Schoolbook"/>
        </w:rPr>
        <w:t xml:space="preserve"> </w:t>
      </w:r>
      <w:r w:rsidRPr="009F549F">
        <w:rPr>
          <w:rFonts w:eastAsia="Century Schoolbook"/>
        </w:rPr>
        <w:t xml:space="preserve">tax rate likely </w:t>
      </w:r>
      <w:r w:rsidRPr="009F549F">
        <w:rPr>
          <w:rFonts w:eastAsia="Century Schoolbook"/>
        </w:rPr>
        <w:lastRenderedPageBreak/>
        <w:t>allows for a more efficient tax system.</w:t>
      </w:r>
      <w:bookmarkStart w:id="71" w:name="_Ref115791304"/>
      <w:r w:rsidRPr="009F549F">
        <w:rPr>
          <w:rFonts w:eastAsia="Century Schoolbook"/>
          <w:vertAlign w:val="superscript"/>
        </w:rPr>
        <w:footnoteReference w:id="99"/>
      </w:r>
      <w:bookmarkEnd w:id="71"/>
      <w:r w:rsidRPr="009F549F">
        <w:rPr>
          <w:rFonts w:eastAsia="Century Schoolbook"/>
        </w:rPr>
        <w:t xml:space="preserve"> This efficiency gain has to be traded off against any unwanted inequality effects from reliance on the VAT, but many countries with a VAT appear to overcome this by having relatively more progressive spending programs.</w:t>
      </w:r>
      <w:r w:rsidRPr="009F549F">
        <w:rPr>
          <w:rFonts w:eastAsia="Century Schoolbook"/>
          <w:vertAlign w:val="superscript"/>
        </w:rPr>
        <w:footnoteReference w:id="100"/>
      </w:r>
      <w:r w:rsidRPr="009F549F">
        <w:rPr>
          <w:rFonts w:eastAsia="Century Schoolbook"/>
        </w:rPr>
        <w:t xml:space="preserve"> </w:t>
      </w:r>
    </w:p>
    <w:p w14:paraId="65E420CF" w14:textId="5EB84D0B" w:rsidR="007B1344" w:rsidRPr="009F549F" w:rsidRDefault="002347BA">
      <w:pPr>
        <w:spacing w:before="240" w:after="240"/>
        <w:ind w:firstLine="720"/>
        <w:jc w:val="both"/>
        <w:rPr>
          <w:rFonts w:eastAsia="Century Schoolbook"/>
        </w:rPr>
      </w:pPr>
      <w:r w:rsidRPr="009F549F">
        <w:rPr>
          <w:rFonts w:eastAsia="Century Schoolbook"/>
        </w:rPr>
        <w:t>Wealth and mark-to-market taxes may also have this property. The key empirical question would be the extent to which taxpayers would attempt to avoid an annual tax in the same ways they avoid the income tax.</w:t>
      </w:r>
      <w:r w:rsidRPr="009F549F">
        <w:rPr>
          <w:rFonts w:eastAsia="Century Schoolbook"/>
          <w:vertAlign w:val="superscript"/>
        </w:rPr>
        <w:footnoteReference w:id="101"/>
      </w:r>
      <w:r w:rsidRPr="009F549F">
        <w:rPr>
          <w:rFonts w:eastAsia="Century Schoolbook"/>
        </w:rPr>
        <w:t xml:space="preserve"> We know for certain that holding assets until death is a key tool the wealthy use to minimize their income taxes and that this tool will not reduce wealth or mark-to-market income tax. On the other hand, while the individual income tax does not currently </w:t>
      </w:r>
      <w:r w:rsidR="00E54304">
        <w:rPr>
          <w:rFonts w:eastAsia="Century Schoolbook"/>
        </w:rPr>
        <w:t>produce</w:t>
      </w:r>
      <w:r w:rsidR="00E54304" w:rsidRPr="00036097">
        <w:rPr>
          <w:rFonts w:eastAsia="Century Schoolbook"/>
        </w:rPr>
        <w:t xml:space="preserve"> </w:t>
      </w:r>
      <w:r w:rsidRPr="009F549F">
        <w:rPr>
          <w:rFonts w:eastAsia="Century Schoolbook"/>
        </w:rPr>
        <w:t>strong incentives for holding private equity, that is one important method for minimizing the U.S. corporate income tax.</w:t>
      </w:r>
      <w:r w:rsidRPr="009F549F">
        <w:rPr>
          <w:rFonts w:eastAsia="Century Schoolbook"/>
          <w:vertAlign w:val="superscript"/>
        </w:rPr>
        <w:footnoteReference w:id="102"/>
      </w:r>
      <w:r w:rsidRPr="009F549F">
        <w:rPr>
          <w:rFonts w:eastAsia="Century Schoolbook"/>
        </w:rPr>
        <w:t xml:space="preserve"> </w:t>
      </w:r>
    </w:p>
    <w:p w14:paraId="7BCB9AD5" w14:textId="506047F9" w:rsidR="007B1344" w:rsidRPr="009F549F" w:rsidRDefault="002347BA">
      <w:pPr>
        <w:spacing w:before="240" w:after="240"/>
        <w:ind w:firstLine="720"/>
        <w:jc w:val="both"/>
        <w:rPr>
          <w:rFonts w:eastAsia="Century Schoolbook"/>
        </w:rPr>
      </w:pPr>
      <w:bookmarkStart w:id="72" w:name="_qsh70q" w:colFirst="0" w:colLast="0"/>
      <w:bookmarkEnd w:id="72"/>
      <w:r w:rsidRPr="009F549F">
        <w:rPr>
          <w:rFonts w:eastAsia="Century Schoolbook"/>
        </w:rPr>
        <w:t>This more nuanced account of the possible strengths and weaknesses of annual taxation tracks the global experience with wealth taxes. Critics have pointed to the supposed failure of many European wealth tax regimes—many of those that once existed have now been repealed</w:t>
      </w:r>
      <w:r w:rsidRPr="009F549F">
        <w:rPr>
          <w:rFonts w:eastAsia="Century Schoolbook"/>
          <w:vertAlign w:val="superscript"/>
        </w:rPr>
        <w:footnoteReference w:id="103"/>
      </w:r>
      <w:r w:rsidRPr="009F549F">
        <w:rPr>
          <w:rFonts w:eastAsia="Century Schoolbook"/>
        </w:rPr>
        <w:t>—as evidence that they cannot succeed.</w:t>
      </w:r>
      <w:r w:rsidRPr="009F549F">
        <w:rPr>
          <w:rFonts w:eastAsia="Century Schoolbook"/>
          <w:vertAlign w:val="superscript"/>
        </w:rPr>
        <w:footnoteReference w:id="104"/>
      </w:r>
      <w:r w:rsidRPr="009F549F">
        <w:rPr>
          <w:rFonts w:eastAsia="Century Schoolbook"/>
        </w:rPr>
        <w:t xml:space="preserve"> </w:t>
      </w:r>
      <w:r w:rsidRPr="009F549F">
        <w:rPr>
          <w:rFonts w:eastAsia="Century Schoolbook"/>
        </w:rPr>
        <w:lastRenderedPageBreak/>
        <w:t xml:space="preserve">Most of these taxed only select assets, </w:t>
      </w:r>
      <w:r w:rsidR="00D41C13">
        <w:rPr>
          <w:rFonts w:eastAsia="Century Schoolbook"/>
        </w:rPr>
        <w:t>such as</w:t>
      </w:r>
      <w:r w:rsidR="00D41C13" w:rsidRPr="009F549F">
        <w:rPr>
          <w:rFonts w:eastAsia="Century Schoolbook"/>
        </w:rPr>
        <w:t xml:space="preserve"> </w:t>
      </w:r>
      <w:r w:rsidRPr="009F549F">
        <w:rPr>
          <w:rFonts w:eastAsia="Century Schoolbook"/>
        </w:rPr>
        <w:t>publicly</w:t>
      </w:r>
      <w:r w:rsidR="00F42ED5" w:rsidRPr="00036097">
        <w:rPr>
          <w:rFonts w:eastAsia="Century Schoolbook"/>
        </w:rPr>
        <w:t xml:space="preserve"> </w:t>
      </w:r>
      <w:r w:rsidRPr="009F549F">
        <w:rPr>
          <w:rFonts w:eastAsia="Century Schoolbook"/>
        </w:rPr>
        <w:t>traded stock.</w:t>
      </w:r>
      <w:r w:rsidRPr="009F549F">
        <w:rPr>
          <w:rFonts w:eastAsia="Century Schoolbook"/>
          <w:vertAlign w:val="superscript"/>
        </w:rPr>
        <w:footnoteReference w:id="105"/>
      </w:r>
      <w:r w:rsidRPr="009F549F">
        <w:rPr>
          <w:rFonts w:eastAsia="Century Schoolbook"/>
        </w:rPr>
        <w:t xml:space="preserve"> But careful historic accounts suggest that for the most part these regimes were repealed not because of their limited legal scope but instead because of tax </w:t>
      </w:r>
      <w:r w:rsidR="0093796B">
        <w:rPr>
          <w:rFonts w:ascii="Century Schoolbook" w:eastAsia="Century Schoolbook" w:hAnsi="Century Schoolbook" w:cs="Century Schoolbook"/>
        </w:rPr>
        <w:t xml:space="preserve">avoidance and </w:t>
      </w:r>
      <w:r w:rsidRPr="009F549F">
        <w:rPr>
          <w:rFonts w:eastAsia="Century Schoolbook"/>
        </w:rPr>
        <w:t>evasion.</w:t>
      </w:r>
      <w:bookmarkStart w:id="73" w:name="_Ref115790989"/>
      <w:r w:rsidRPr="009F549F">
        <w:rPr>
          <w:rFonts w:eastAsia="Century Schoolbook"/>
          <w:vertAlign w:val="superscript"/>
        </w:rPr>
        <w:footnoteReference w:id="106"/>
      </w:r>
      <w:bookmarkEnd w:id="73"/>
      <w:r w:rsidRPr="009F549F">
        <w:rPr>
          <w:rFonts w:eastAsia="Century Schoolbook"/>
        </w:rPr>
        <w:t xml:space="preserve"> European legal and technological arrangements made it easy for wealthy taxpayers to hide assets in tax havens, such as Switzerland and later in </w:t>
      </w:r>
      <w:r w:rsidRPr="009F549F">
        <w:rPr>
          <w:rFonts w:eastAsia="Century Schoolbook"/>
        </w:rPr>
        <w:lastRenderedPageBreak/>
        <w:t>Eastern Europe.</w:t>
      </w:r>
      <w:r w:rsidRPr="009F549F">
        <w:rPr>
          <w:rFonts w:eastAsia="Century Schoolbook"/>
          <w:vertAlign w:val="superscript"/>
        </w:rPr>
        <w:footnoteReference w:id="107"/>
      </w:r>
      <w:r w:rsidRPr="009F549F">
        <w:rPr>
          <w:rFonts w:eastAsia="Century Schoolbook"/>
        </w:rPr>
        <w:t xml:space="preserve"> These schemes helped to reduce both wealth and income taxes.</w:t>
      </w:r>
      <w:r w:rsidRPr="009F549F">
        <w:rPr>
          <w:rFonts w:eastAsia="Century Schoolbook"/>
          <w:vertAlign w:val="superscript"/>
        </w:rPr>
        <w:footnoteReference w:id="108"/>
      </w:r>
      <w:r w:rsidRPr="009F549F">
        <w:rPr>
          <w:rFonts w:eastAsia="Century Schoolbook"/>
        </w:rPr>
        <w:t xml:space="preserve"> Over time,</w:t>
      </w:r>
      <w:r>
        <w:rPr>
          <w:rFonts w:ascii="Century Schoolbook" w:eastAsia="Century Schoolbook" w:hAnsi="Century Schoolbook" w:cs="Century Schoolbook"/>
        </w:rPr>
        <w:t xml:space="preserve"> </w:t>
      </w:r>
      <w:r w:rsidR="0071288C">
        <w:rPr>
          <w:rFonts w:ascii="Century Schoolbook" w:eastAsia="Century Schoolbook" w:hAnsi="Century Schoolbook" w:cs="Century Schoolbook"/>
        </w:rPr>
        <w:t>this avoidance and</w:t>
      </w:r>
      <w:r w:rsidRPr="009F549F">
        <w:rPr>
          <w:rFonts w:eastAsia="Century Schoolbook"/>
        </w:rPr>
        <w:t xml:space="preserve"> evasion was so successful that wealth taxes raised little revenue, making them easy to repeal.</w:t>
      </w:r>
      <w:r w:rsidRPr="009F549F">
        <w:rPr>
          <w:rFonts w:eastAsia="Century Schoolbook"/>
          <w:vertAlign w:val="superscript"/>
        </w:rPr>
        <w:footnoteReference w:id="109"/>
      </w:r>
      <w:r w:rsidRPr="009F549F">
        <w:rPr>
          <w:rFonts w:eastAsia="Century Schoolbook"/>
        </w:rPr>
        <w:t xml:space="preserve"> We infer, then, that it was the unfortunate overlap of avoidance </w:t>
      </w:r>
      <w:r w:rsidR="0071288C">
        <w:rPr>
          <w:rFonts w:ascii="Century Schoolbook" w:eastAsia="Century Schoolbook" w:hAnsi="Century Schoolbook" w:cs="Century Schoolbook"/>
        </w:rPr>
        <w:t xml:space="preserve">and evasion </w:t>
      </w:r>
      <w:r w:rsidRPr="009F549F">
        <w:rPr>
          <w:rFonts w:eastAsia="Century Schoolbook"/>
        </w:rPr>
        <w:t xml:space="preserve">responses to wealth and income taxes and the very high elasticity of those responses that made it hard for these systems to succeed. </w:t>
      </w:r>
    </w:p>
    <w:p w14:paraId="4CFFE453" w14:textId="52AF25B0" w:rsidR="007B1344" w:rsidRPr="009F549F" w:rsidRDefault="002347BA">
      <w:pPr>
        <w:spacing w:before="240" w:after="240"/>
        <w:ind w:firstLine="720"/>
        <w:jc w:val="both"/>
        <w:rPr>
          <w:rFonts w:eastAsia="Century Schoolbook"/>
        </w:rPr>
      </w:pPr>
      <w:r w:rsidRPr="009F549F">
        <w:rPr>
          <w:rFonts w:eastAsia="Century Schoolbook"/>
        </w:rPr>
        <w:t xml:space="preserve">Nonetheless, these experiences offer </w:t>
      </w:r>
      <w:r w:rsidR="00E04E0C" w:rsidRPr="00036097">
        <w:rPr>
          <w:rFonts w:eastAsia="Century Schoolbook"/>
        </w:rPr>
        <w:t xml:space="preserve">a clear lesson </w:t>
      </w:r>
      <w:r w:rsidRPr="009F549F">
        <w:rPr>
          <w:rFonts w:eastAsia="Century Schoolbook"/>
        </w:rPr>
        <w:t xml:space="preserve">that tax system designers should try to minimize, as far as possible, the economic differences between the treatment of different categories of assets. If we </w:t>
      </w:r>
      <w:r w:rsidRPr="00036097">
        <w:rPr>
          <w:rFonts w:eastAsia="Century Schoolbook"/>
        </w:rPr>
        <w:t>can</w:t>
      </w:r>
      <w:r w:rsidR="007455E5" w:rsidRPr="00036097">
        <w:rPr>
          <w:rFonts w:eastAsia="Century Schoolbook"/>
        </w:rPr>
        <w:t>no</w:t>
      </w:r>
      <w:r w:rsidRPr="00036097">
        <w:rPr>
          <w:rFonts w:eastAsia="Century Schoolbook"/>
        </w:rPr>
        <w:t>t</w:t>
      </w:r>
      <w:r w:rsidRPr="009F549F">
        <w:rPr>
          <w:rFonts w:eastAsia="Century Schoolbook"/>
        </w:rPr>
        <w:t xml:space="preserve"> erase the dividing line between assets subject to wealth or mark-to-market tax and those that are exempt, we should ideally draw that line where responses are relatively inelastic.</w:t>
      </w:r>
      <w:r w:rsidRPr="009F549F">
        <w:rPr>
          <w:rFonts w:eastAsia="Century Schoolbook"/>
          <w:vertAlign w:val="superscript"/>
        </w:rPr>
        <w:footnoteReference w:id="110"/>
      </w:r>
      <w:r w:rsidRPr="009F549F">
        <w:rPr>
          <w:rFonts w:eastAsia="Century Schoolbook"/>
        </w:rPr>
        <w:t xml:space="preserve"> But the approach of simply omitting large categories of assets is unlikely to succeed in that effort</w:t>
      </w:r>
      <w:r w:rsidR="002067A9" w:rsidRPr="00036097">
        <w:rPr>
          <w:rFonts w:eastAsia="Century Schoolbook"/>
        </w:rPr>
        <w:t xml:space="preserve"> because </w:t>
      </w:r>
      <w:r w:rsidRPr="009F549F">
        <w:rPr>
          <w:rFonts w:eastAsia="Century Schoolbook"/>
        </w:rPr>
        <w:t xml:space="preserve">the border between assets that are easy to value and those that are not will </w:t>
      </w:r>
      <w:r w:rsidR="00A84AF9" w:rsidRPr="00036097">
        <w:rPr>
          <w:rFonts w:eastAsia="Century Schoolbook"/>
        </w:rPr>
        <w:t xml:space="preserve">rarely </w:t>
      </w:r>
      <w:r w:rsidRPr="009F549F">
        <w:rPr>
          <w:rFonts w:eastAsia="Century Schoolbook"/>
        </w:rPr>
        <w:t>line up with a set of choices that are particularly hard for taxpayers to manipulate.</w:t>
      </w:r>
    </w:p>
    <w:p w14:paraId="0FE7233D" w14:textId="1EC110F6" w:rsidR="007B1344" w:rsidRPr="009F549F" w:rsidRDefault="002347BA">
      <w:pPr>
        <w:spacing w:before="240" w:after="240"/>
        <w:ind w:firstLine="720"/>
        <w:jc w:val="both"/>
        <w:rPr>
          <w:rFonts w:eastAsia="Century Schoolbook"/>
        </w:rPr>
      </w:pPr>
      <w:r w:rsidRPr="009F549F">
        <w:rPr>
          <w:rFonts w:eastAsia="Century Schoolbook"/>
        </w:rPr>
        <w:t xml:space="preserve">This is the promise of combinations of different responses to valuation. An assembly of several imperfect responses, each applied to a different category of assets, may outperform each individually because the combination results in lower elasticities. Even if each alternative can be exploited by well-advised taxpayers to reduce their tax rates, </w:t>
      </w:r>
      <w:r w:rsidR="00FA3860">
        <w:rPr>
          <w:rFonts w:ascii="Century Schoolbook" w:eastAsia="Century Schoolbook" w:hAnsi="Century Schoolbook" w:cs="Century Schoolbook"/>
        </w:rPr>
        <w:t xml:space="preserve">so </w:t>
      </w:r>
      <w:r w:rsidRPr="009F549F">
        <w:rPr>
          <w:rFonts w:eastAsia="Century Schoolbook"/>
        </w:rPr>
        <w:t xml:space="preserve">long as the effective rate for the taxed assets is not zero, the existence of the alternative will reduce the payoff to swapping from one regime to another. In combination with other frictions, the existence of alternative </w:t>
      </w:r>
      <w:r w:rsidRPr="009F549F">
        <w:rPr>
          <w:rFonts w:eastAsia="Century Schoolbook"/>
        </w:rPr>
        <w:lastRenderedPageBreak/>
        <w:t xml:space="preserve">valuation methods can substantially reduce the elasticity of responses, making each method more efficient than it would be alone.  </w:t>
      </w:r>
    </w:p>
    <w:p w14:paraId="313FA1E5" w14:textId="77777777" w:rsidR="007B1344" w:rsidRPr="009F549F" w:rsidRDefault="002347BA">
      <w:pPr>
        <w:spacing w:before="240" w:after="240"/>
        <w:ind w:firstLine="720"/>
        <w:jc w:val="both"/>
        <w:rPr>
          <w:rFonts w:eastAsia="Century Schoolbook"/>
        </w:rPr>
      </w:pPr>
      <w:r w:rsidRPr="009F549F">
        <w:rPr>
          <w:rFonts w:eastAsia="Century Schoolbook"/>
        </w:rPr>
        <w:t xml:space="preserve">Of course, this possibility raises the question of whether there are other even moderately effective tools for valuing assets other than those that are publicly traded. We turn now to considering several possibilities. </w:t>
      </w:r>
    </w:p>
    <w:p w14:paraId="713293A6" w14:textId="6FB46569" w:rsidR="007B1344" w:rsidRPr="009F549F" w:rsidRDefault="002347BA">
      <w:pPr>
        <w:pStyle w:val="Heading2"/>
        <w:rPr>
          <w:rFonts w:ascii="Times New Roman" w:hAnsi="Times New Roman"/>
          <w:i/>
          <w:sz w:val="24"/>
        </w:rPr>
      </w:pPr>
      <w:bookmarkStart w:id="75" w:name="_Ref119430611"/>
      <w:bookmarkStart w:id="76" w:name="_Toc115088931"/>
      <w:bookmarkStart w:id="77" w:name="_Toc120019827"/>
      <w:r w:rsidRPr="009F549F">
        <w:rPr>
          <w:rFonts w:ascii="Times New Roman" w:hAnsi="Times New Roman"/>
          <w:i/>
          <w:sz w:val="24"/>
        </w:rPr>
        <w:t xml:space="preserve">B. Formulaic Valuations and </w:t>
      </w:r>
      <w:r w:rsidR="005361F2" w:rsidRPr="009F549F">
        <w:rPr>
          <w:rFonts w:ascii="Times New Roman" w:hAnsi="Times New Roman"/>
          <w:i/>
          <w:sz w:val="24"/>
        </w:rPr>
        <w:t>t</w:t>
      </w:r>
      <w:r w:rsidRPr="009F549F">
        <w:rPr>
          <w:rFonts w:ascii="Times New Roman" w:hAnsi="Times New Roman"/>
          <w:i/>
          <w:sz w:val="24"/>
        </w:rPr>
        <w:t>he Swiss Near-Miss</w:t>
      </w:r>
      <w:bookmarkEnd w:id="75"/>
      <w:bookmarkEnd w:id="76"/>
      <w:bookmarkEnd w:id="77"/>
    </w:p>
    <w:p w14:paraId="3C572FC1" w14:textId="013FC784" w:rsidR="007B1344" w:rsidRPr="009F549F" w:rsidRDefault="002347BA">
      <w:pPr>
        <w:spacing w:before="240" w:after="240"/>
        <w:ind w:firstLine="720"/>
        <w:jc w:val="both"/>
        <w:rPr>
          <w:rFonts w:eastAsia="Century Schoolbook"/>
        </w:rPr>
      </w:pPr>
      <w:bookmarkStart w:id="78" w:name="_1pxezwc" w:colFirst="0" w:colLast="0"/>
      <w:bookmarkEnd w:id="78"/>
      <w:r w:rsidRPr="009F549F">
        <w:rPr>
          <w:rFonts w:eastAsia="Century Schoolbook"/>
        </w:rPr>
        <w:t>Another promising but partial solution derives from the experience of the Swiss wealth tax. Switzerland’s share of national revenues collected through wealth taxes is by far the largest of any country, totaling more than 1</w:t>
      </w:r>
      <w:r w:rsidR="00173B9F" w:rsidRPr="00036097">
        <w:rPr>
          <w:rFonts w:eastAsia="Century Schoolbook"/>
        </w:rPr>
        <w:t xml:space="preserve"> percent</w:t>
      </w:r>
      <w:r w:rsidRPr="009F549F">
        <w:rPr>
          <w:rFonts w:eastAsia="Century Schoolbook"/>
        </w:rPr>
        <w:t xml:space="preserve"> of its entire </w:t>
      </w:r>
      <w:r w:rsidR="00173B9F" w:rsidRPr="00036097">
        <w:rPr>
          <w:rFonts w:eastAsia="Century Schoolbook"/>
        </w:rPr>
        <w:t>gross domestic product</w:t>
      </w:r>
      <w:r w:rsidRPr="009F549F">
        <w:rPr>
          <w:rFonts w:eastAsia="Century Schoolbook"/>
        </w:rPr>
        <w:t>.</w:t>
      </w:r>
      <w:r w:rsidRPr="009F549F">
        <w:rPr>
          <w:rFonts w:eastAsia="Century Schoolbook"/>
          <w:vertAlign w:val="superscript"/>
        </w:rPr>
        <w:footnoteReference w:id="111"/>
      </w:r>
      <w:r w:rsidRPr="009F549F">
        <w:rPr>
          <w:rFonts w:eastAsia="Century Schoolbook"/>
        </w:rPr>
        <w:t xml:space="preserve"> This despite Swiss bank secrecy, and despite the fact that the tax is actually administered by the dozens of tiny Swiss cantons, each of them with different rates, albeit subject to some common rules and guidelines.</w:t>
      </w:r>
      <w:bookmarkStart w:id="79" w:name="_Ref115167898"/>
      <w:r w:rsidRPr="009F549F">
        <w:rPr>
          <w:rFonts w:eastAsia="Century Schoolbook"/>
          <w:vertAlign w:val="superscript"/>
        </w:rPr>
        <w:footnoteReference w:id="112"/>
      </w:r>
      <w:bookmarkEnd w:id="79"/>
      <w:r w:rsidRPr="009F549F">
        <w:rPr>
          <w:rFonts w:eastAsia="Century Schoolbook"/>
        </w:rPr>
        <w:t xml:space="preserve"> </w:t>
      </w:r>
    </w:p>
    <w:p w14:paraId="77CFE10B" w14:textId="0616BB5A" w:rsidR="007B1344" w:rsidRPr="009F549F" w:rsidRDefault="002347BA">
      <w:pPr>
        <w:spacing w:before="240" w:after="240"/>
        <w:ind w:firstLine="720"/>
        <w:jc w:val="both"/>
        <w:rPr>
          <w:rFonts w:eastAsia="Century Schoolbook"/>
        </w:rPr>
      </w:pPr>
      <w:r w:rsidRPr="009F549F">
        <w:rPr>
          <w:rFonts w:eastAsia="Century Schoolbook"/>
        </w:rPr>
        <w:t>A key distinguishing feature of the Swiss system, to which we would attribute at least part of its surprising success, is what we call its formulaic valuation method.</w:t>
      </w:r>
      <w:r w:rsidRPr="009F549F">
        <w:rPr>
          <w:rFonts w:eastAsia="Century Schoolbook"/>
          <w:vertAlign w:val="superscript"/>
        </w:rPr>
        <w:footnoteReference w:id="113"/>
      </w:r>
      <w:r w:rsidRPr="009F549F">
        <w:rPr>
          <w:rFonts w:eastAsia="Century Schoolbook"/>
        </w:rPr>
        <w:t xml:space="preserve"> Instead of appraising every small privately</w:t>
      </w:r>
      <w:r w:rsidR="007F1E05" w:rsidRPr="00036097">
        <w:rPr>
          <w:rFonts w:eastAsia="Century Schoolbook"/>
        </w:rPr>
        <w:t xml:space="preserve"> </w:t>
      </w:r>
      <w:r w:rsidRPr="009F549F">
        <w:rPr>
          <w:rFonts w:eastAsia="Century Schoolbook"/>
        </w:rPr>
        <w:t xml:space="preserve">held business, the formulaic </w:t>
      </w:r>
      <w:r w:rsidRPr="009F549F">
        <w:rPr>
          <w:rFonts w:eastAsia="Century Schoolbook"/>
        </w:rPr>
        <w:lastRenderedPageBreak/>
        <w:t>valuation method computes the taxable value of nonpublic businesses using two pieces of financial information: the book value of the firm’s assets and its recent earnings.</w:t>
      </w:r>
      <w:r w:rsidRPr="009F549F">
        <w:rPr>
          <w:rFonts w:eastAsia="Century Schoolbook"/>
          <w:vertAlign w:val="superscript"/>
        </w:rPr>
        <w:footnoteReference w:id="114"/>
      </w:r>
      <w:r w:rsidRPr="009F549F">
        <w:rPr>
          <w:rFonts w:eastAsia="Century Schoolbook"/>
        </w:rPr>
        <w:t xml:space="preserve"> The exact impact of earnings on the firm’s value varies from year to year based on prevailing interest rates, which are used to calculate the present discounted value of expected future earnings.</w:t>
      </w:r>
      <w:r w:rsidRPr="009F549F">
        <w:rPr>
          <w:rFonts w:eastAsia="Century Schoolbook"/>
          <w:vertAlign w:val="superscript"/>
        </w:rPr>
        <w:footnoteReference w:id="115"/>
      </w:r>
      <w:r w:rsidRPr="009F549F">
        <w:rPr>
          <w:rFonts w:eastAsia="Century Schoolbook"/>
        </w:rPr>
        <w:t xml:space="preserve"> </w:t>
      </w:r>
    </w:p>
    <w:p w14:paraId="7CF94C58" w14:textId="652305F5" w:rsidR="007B1344" w:rsidRPr="009F549F" w:rsidRDefault="002347BA">
      <w:pPr>
        <w:spacing w:before="240" w:after="240"/>
        <w:ind w:firstLine="720"/>
        <w:jc w:val="both"/>
        <w:rPr>
          <w:rFonts w:eastAsia="Century Schoolbook"/>
        </w:rPr>
      </w:pPr>
      <w:bookmarkStart w:id="80" w:name="_49x2ik5" w:colFirst="0" w:colLast="0"/>
      <w:bookmarkEnd w:id="80"/>
      <w:r w:rsidRPr="009F549F">
        <w:rPr>
          <w:rFonts w:eastAsia="Century Schoolbook"/>
        </w:rPr>
        <w:t>Both these pieces of data are readily available and fairly reliable because they are reported annually in firms’ financial statements.</w:t>
      </w:r>
      <w:bookmarkStart w:id="81" w:name="_Ref115190636"/>
      <w:r w:rsidRPr="009F549F">
        <w:rPr>
          <w:rFonts w:eastAsia="Century Schoolbook"/>
          <w:vertAlign w:val="superscript"/>
        </w:rPr>
        <w:footnoteReference w:id="116"/>
      </w:r>
      <w:bookmarkEnd w:id="81"/>
      <w:r w:rsidRPr="009F549F">
        <w:rPr>
          <w:rFonts w:eastAsia="Century Schoolbook"/>
        </w:rPr>
        <w:t xml:space="preserve"> These are the documents that a business uses to represent its financial condition to trading partners, creditors, and other investors. </w:t>
      </w:r>
      <w:r w:rsidR="00C376F7" w:rsidRPr="00036097">
        <w:rPr>
          <w:rFonts w:eastAsia="Century Schoolbook"/>
        </w:rPr>
        <w:t>Because</w:t>
      </w:r>
      <w:r w:rsidR="00C376F7" w:rsidRPr="009F549F">
        <w:rPr>
          <w:rFonts w:eastAsia="Century Schoolbook"/>
        </w:rPr>
        <w:t xml:space="preserve"> </w:t>
      </w:r>
      <w:r w:rsidRPr="009F549F">
        <w:rPr>
          <w:rFonts w:eastAsia="Century Schoolbook"/>
        </w:rPr>
        <w:t xml:space="preserve">sound financial condition is important to all these relationships—no retailer wants a long-term contract with a supplier that is on the brink of failure—firms rarely want to understate income or </w:t>
      </w:r>
      <w:r w:rsidRPr="009F549F">
        <w:rPr>
          <w:rFonts w:eastAsia="Century Schoolbook"/>
        </w:rPr>
        <w:lastRenderedPageBreak/>
        <w:t>assets on their financial statements.</w:t>
      </w:r>
      <w:r w:rsidRPr="009F549F">
        <w:rPr>
          <w:rFonts w:eastAsia="Century Schoolbook"/>
          <w:vertAlign w:val="superscript"/>
        </w:rPr>
        <w:footnoteReference w:id="117"/>
      </w:r>
      <w:r w:rsidRPr="009F549F">
        <w:rPr>
          <w:rFonts w:eastAsia="Century Schoolbook"/>
        </w:rPr>
        <w:t xml:space="preserve"> This is not to say that cheating is impossible. Evidence suggests that financial statement income is somewhat sensitive to tax rates, and firms might understate financial statement income and use more covert methods to convey their real financial standing when needed.</w:t>
      </w:r>
      <w:r w:rsidRPr="009F549F">
        <w:rPr>
          <w:rFonts w:eastAsia="Century Schoolbook"/>
          <w:vertAlign w:val="superscript"/>
        </w:rPr>
        <w:footnoteReference w:id="118"/>
      </w:r>
      <w:r w:rsidRPr="009F549F">
        <w:rPr>
          <w:rFonts w:eastAsia="Century Schoolbook"/>
        </w:rPr>
        <w:t xml:space="preserve"> </w:t>
      </w:r>
    </w:p>
    <w:p w14:paraId="02F2B4CC" w14:textId="0BA87F85" w:rsidR="007B1344" w:rsidRPr="009F549F" w:rsidRDefault="002347BA">
      <w:pPr>
        <w:spacing w:before="240" w:after="240"/>
        <w:ind w:firstLine="720"/>
        <w:jc w:val="both"/>
        <w:rPr>
          <w:rFonts w:eastAsia="Century Schoolbook"/>
        </w:rPr>
      </w:pPr>
      <w:r w:rsidRPr="009F549F">
        <w:rPr>
          <w:rFonts w:eastAsia="Century Schoolbook"/>
        </w:rPr>
        <w:t>While not perfect, we think the Swiss solution works, at least for a core set of relatively easy cases, because it is just a codification of what most appraisals would already do. Market actors with financial incentives to price a business accurately often use book assets and a multiplier of earnings as a measure of a firm’s value.</w:t>
      </w:r>
      <w:r w:rsidRPr="009F549F">
        <w:rPr>
          <w:rFonts w:eastAsia="Century Schoolbook"/>
          <w:vertAlign w:val="superscript"/>
        </w:rPr>
        <w:footnoteReference w:id="119"/>
      </w:r>
      <w:r w:rsidRPr="009F549F">
        <w:rPr>
          <w:rFonts w:eastAsia="Century Schoolbook"/>
        </w:rPr>
        <w:t xml:space="preserve"> Appraisers do too, though there may be some variation in the exact multipliers or “discount rates” different appraisers might choose.</w:t>
      </w:r>
      <w:r w:rsidRPr="009F549F">
        <w:rPr>
          <w:rFonts w:eastAsia="Century Schoolbook"/>
          <w:vertAlign w:val="superscript"/>
        </w:rPr>
        <w:footnoteReference w:id="120"/>
      </w:r>
      <w:r w:rsidRPr="009F549F">
        <w:rPr>
          <w:rFonts w:eastAsia="Century Schoolbook"/>
        </w:rPr>
        <w:t xml:space="preserve"> By imposing a uniform multiplier, formulaic valuation discourages taxpayers from shopping for appraisers who might be willing to use a lower multiplier than industry standard. </w:t>
      </w:r>
    </w:p>
    <w:p w14:paraId="340EAE15" w14:textId="169DF23C" w:rsidR="007B1344" w:rsidRPr="009F549F" w:rsidRDefault="002347BA">
      <w:pPr>
        <w:spacing w:before="240" w:after="240"/>
        <w:ind w:firstLine="720"/>
        <w:jc w:val="both"/>
        <w:rPr>
          <w:rFonts w:eastAsia="Century Schoolbook"/>
        </w:rPr>
      </w:pPr>
      <w:bookmarkStart w:id="82" w:name="_2p2csry" w:colFirst="0" w:colLast="0"/>
      <w:bookmarkEnd w:id="82"/>
      <w:r w:rsidRPr="009F549F">
        <w:rPr>
          <w:rFonts w:eastAsia="Century Schoolbook"/>
        </w:rPr>
        <w:lastRenderedPageBreak/>
        <w:t>At the same time, formulaic valuation has important limitations.</w:t>
      </w:r>
      <w:bookmarkStart w:id="83" w:name="_Ref115379283"/>
      <w:r w:rsidRPr="009F549F">
        <w:rPr>
          <w:rFonts w:eastAsia="Century Schoolbook"/>
          <w:vertAlign w:val="superscript"/>
        </w:rPr>
        <w:footnoteReference w:id="121"/>
      </w:r>
      <w:bookmarkEnd w:id="83"/>
      <w:r w:rsidRPr="009F549F">
        <w:rPr>
          <w:rFonts w:eastAsia="Century Schoolbook"/>
        </w:rPr>
        <w:t xml:space="preserve"> Firms with substantial growth opportunities may have value well in excess of their assets and current revenues. Think of Uber circa 2019, when the company had negative net assets, negative earnings, and </w:t>
      </w:r>
      <w:r w:rsidR="00E72DDB">
        <w:rPr>
          <w:rFonts w:eastAsia="Century Schoolbook"/>
        </w:rPr>
        <w:t xml:space="preserve">yet </w:t>
      </w:r>
      <w:r w:rsidRPr="009F549F">
        <w:rPr>
          <w:rFonts w:eastAsia="Century Schoolbook"/>
        </w:rPr>
        <w:t>a market cap</w:t>
      </w:r>
      <w:r w:rsidR="00E72DDB">
        <w:rPr>
          <w:rFonts w:eastAsia="Century Schoolbook"/>
        </w:rPr>
        <w:t>italization</w:t>
      </w:r>
      <w:r w:rsidRPr="009F549F">
        <w:rPr>
          <w:rFonts w:eastAsia="Century Schoolbook"/>
        </w:rPr>
        <w:t xml:space="preserve"> of over </w:t>
      </w:r>
      <w:r w:rsidR="00CB55C8" w:rsidRPr="00036097">
        <w:rPr>
          <w:rFonts w:eastAsia="Century Schoolbook"/>
        </w:rPr>
        <w:t xml:space="preserve">$50 </w:t>
      </w:r>
      <w:r w:rsidRPr="009F549F">
        <w:rPr>
          <w:rFonts w:eastAsia="Century Schoolbook"/>
        </w:rPr>
        <w:t>billion.</w:t>
      </w:r>
      <w:r w:rsidRPr="009F549F">
        <w:rPr>
          <w:rFonts w:eastAsia="Century Schoolbook"/>
          <w:vertAlign w:val="superscript"/>
        </w:rPr>
        <w:footnoteReference w:id="122"/>
      </w:r>
      <w:r w:rsidRPr="009F549F">
        <w:rPr>
          <w:rFonts w:eastAsia="Century Schoolbook"/>
        </w:rPr>
        <w:t xml:space="preserve"> And there are problems for established firms as well</w:t>
      </w:r>
      <w:r w:rsidR="00AA1692">
        <w:rPr>
          <w:rFonts w:ascii="Century Schoolbook" w:eastAsia="Century Schoolbook" w:hAnsi="Century Schoolbook" w:cs="Century Schoolbook"/>
        </w:rPr>
        <w:t xml:space="preserve">. </w:t>
      </w:r>
      <w:r w:rsidRPr="009F549F">
        <w:rPr>
          <w:rFonts w:eastAsia="Century Schoolbook"/>
        </w:rPr>
        <w:t>Suppose a firm has a few years of losses</w:t>
      </w:r>
      <w:r w:rsidR="00E5658D" w:rsidRPr="00036097">
        <w:rPr>
          <w:rFonts w:eastAsia="Century Schoolbook"/>
        </w:rPr>
        <w:t>;</w:t>
      </w:r>
      <w:r w:rsidRPr="009F549F">
        <w:rPr>
          <w:rFonts w:eastAsia="Century Schoolbook"/>
        </w:rPr>
        <w:t xml:space="preserve"> is it now worth nothing?</w:t>
      </w:r>
      <w:r w:rsidRPr="009F549F">
        <w:rPr>
          <w:rFonts w:eastAsia="Century Schoolbook"/>
          <w:vertAlign w:val="superscript"/>
        </w:rPr>
        <w:footnoteReference w:id="123"/>
      </w:r>
      <w:r w:rsidRPr="009F549F">
        <w:rPr>
          <w:rFonts w:eastAsia="Century Schoolbook"/>
        </w:rPr>
        <w:t xml:space="preserve"> Or suppose a firm is distressed for some reason</w:t>
      </w:r>
      <w:r w:rsidR="00804BA0" w:rsidRPr="00036097">
        <w:rPr>
          <w:rFonts w:eastAsia="Century Schoolbook"/>
        </w:rPr>
        <w:t>—</w:t>
      </w:r>
      <w:r w:rsidRPr="009F549F">
        <w:rPr>
          <w:rFonts w:eastAsia="Century Schoolbook"/>
        </w:rPr>
        <w:t>in that case the book value of its assets may be much more than the assets’ actual market value.</w:t>
      </w:r>
      <w:r w:rsidRPr="009F549F">
        <w:rPr>
          <w:rFonts w:eastAsia="Century Schoolbook"/>
          <w:vertAlign w:val="superscript"/>
        </w:rPr>
        <w:footnoteReference w:id="124"/>
      </w:r>
      <w:r w:rsidRPr="009F549F">
        <w:rPr>
          <w:rFonts w:eastAsia="Century Schoolbook"/>
        </w:rPr>
        <w:t xml:space="preserve"> </w:t>
      </w:r>
    </w:p>
    <w:p w14:paraId="32392968" w14:textId="660681CF" w:rsidR="007B1344" w:rsidRPr="009F549F" w:rsidRDefault="002347BA">
      <w:pPr>
        <w:spacing w:before="240" w:after="240"/>
        <w:ind w:firstLine="720"/>
        <w:jc w:val="both"/>
        <w:rPr>
          <w:rFonts w:eastAsia="Century Schoolbook"/>
        </w:rPr>
      </w:pPr>
      <w:r w:rsidRPr="009F549F">
        <w:rPr>
          <w:rFonts w:eastAsia="Century Schoolbook"/>
        </w:rPr>
        <w:t>As to such limitations, we would make a few observations</w:t>
      </w:r>
      <w:r w:rsidR="00AA1692">
        <w:rPr>
          <w:rFonts w:ascii="Century Schoolbook" w:eastAsia="Century Schoolbook" w:hAnsi="Century Schoolbook" w:cs="Century Schoolbook"/>
        </w:rPr>
        <w:t xml:space="preserve">. </w:t>
      </w:r>
      <w:r w:rsidRPr="009F549F">
        <w:rPr>
          <w:rFonts w:eastAsia="Century Schoolbook"/>
        </w:rPr>
        <w:t>First, these limitations need to be viewed in the context of the current regime</w:t>
      </w:r>
      <w:r w:rsidR="0020227E">
        <w:rPr>
          <w:rFonts w:eastAsia="Century Schoolbook"/>
        </w:rPr>
        <w:t>,</w:t>
      </w:r>
      <w:r w:rsidRPr="009F549F">
        <w:rPr>
          <w:rFonts w:eastAsia="Century Schoolbook"/>
        </w:rPr>
        <w:t xml:space="preserve"> in which wealth is not directly taxed at all and the investment returns to owning wealth often also escape taxation</w:t>
      </w:r>
      <w:r w:rsidR="00AA1692">
        <w:rPr>
          <w:rFonts w:ascii="Century Schoolbook" w:eastAsia="Century Schoolbook" w:hAnsi="Century Schoolbook" w:cs="Century Schoolbook"/>
        </w:rPr>
        <w:t xml:space="preserve">. </w:t>
      </w:r>
      <w:r w:rsidRPr="009F549F">
        <w:rPr>
          <w:rFonts w:eastAsia="Century Schoolbook"/>
        </w:rPr>
        <w:t>Second, even those skeptical of this approach tend to think that it can work well enough for small businesses.</w:t>
      </w:r>
      <w:r w:rsidRPr="009F549F">
        <w:rPr>
          <w:rFonts w:eastAsia="Century Schoolbook"/>
          <w:vertAlign w:val="superscript"/>
        </w:rPr>
        <w:footnoteReference w:id="125"/>
      </w:r>
      <w:r w:rsidRPr="009F549F">
        <w:rPr>
          <w:rFonts w:eastAsia="Century Schoolbook"/>
        </w:rPr>
        <w:t xml:space="preserve"> Third, there is the possibility of addressing some of these concerns. Tax system designers must decide whether adding fallback valuation methods for these kinds of companies is worth the added complexity. For example, the California wealth tax bill we helped to draft allows </w:t>
      </w:r>
      <w:r w:rsidRPr="009F549F">
        <w:rPr>
          <w:rFonts w:eastAsia="Century Schoolbook"/>
        </w:rPr>
        <w:lastRenderedPageBreak/>
        <w:t>the tax authority to value firms at above their formulaic value when there are recent market transactions, such as private equity investments, establishing a higher value than the formula would.</w:t>
      </w:r>
      <w:r w:rsidRPr="009F549F">
        <w:rPr>
          <w:rFonts w:eastAsia="Century Schoolbook"/>
          <w:vertAlign w:val="superscript"/>
        </w:rPr>
        <w:footnoteReference w:id="126"/>
      </w:r>
      <w:r w:rsidRPr="009F549F">
        <w:rPr>
          <w:rFonts w:eastAsia="Century Schoolbook"/>
        </w:rPr>
        <w:t xml:space="preserve"> </w:t>
      </w:r>
    </w:p>
    <w:p w14:paraId="55F65A17" w14:textId="25B61B4E" w:rsidR="007B1344" w:rsidRPr="009F549F" w:rsidRDefault="00585CB2">
      <w:pPr>
        <w:spacing w:before="240" w:after="240"/>
        <w:ind w:firstLine="720"/>
        <w:jc w:val="both"/>
        <w:rPr>
          <w:rFonts w:eastAsia="Century Schoolbook"/>
        </w:rPr>
      </w:pPr>
      <w:r w:rsidRPr="00036097">
        <w:rPr>
          <w:rFonts w:eastAsia="Century Schoolbook"/>
        </w:rPr>
        <w:t xml:space="preserve">Although </w:t>
      </w:r>
      <w:r w:rsidR="002347BA" w:rsidRPr="009F549F">
        <w:rPr>
          <w:rFonts w:eastAsia="Century Schoolbook"/>
        </w:rPr>
        <w:t xml:space="preserve">formulaic valuation (perhaps supplemented with some fallback valuation rules) works reasonably well for simple equity interests, it struggles to pinpoint value for many other modern financial instruments, whether exotic or routine. In addition, formulaic valuation also obviously struggles as applied to many nonfinancial assets, such as land, jewelry, and art. Indeed, many Swiss wealth tax cases involve disputes over the value of real estate that are not much different from those we might see in the </w:t>
      </w:r>
      <w:r w:rsidR="002347BA" w:rsidRPr="00036097">
        <w:rPr>
          <w:rFonts w:eastAsia="Century Schoolbook"/>
        </w:rPr>
        <w:t>U</w:t>
      </w:r>
      <w:r w:rsidR="00016182" w:rsidRPr="00036097">
        <w:rPr>
          <w:rFonts w:eastAsia="Century Schoolbook"/>
        </w:rPr>
        <w:t>nited States</w:t>
      </w:r>
      <w:r w:rsidR="002347BA" w:rsidRPr="009F549F">
        <w:rPr>
          <w:rFonts w:eastAsia="Century Schoolbook"/>
        </w:rPr>
        <w:t>.</w:t>
      </w:r>
      <w:r w:rsidR="002347BA" w:rsidRPr="009F549F">
        <w:rPr>
          <w:rFonts w:eastAsia="Century Schoolbook"/>
          <w:vertAlign w:val="superscript"/>
        </w:rPr>
        <w:footnoteReference w:id="127"/>
      </w:r>
      <w:r w:rsidR="002347BA" w:rsidRPr="009F549F">
        <w:rPr>
          <w:rFonts w:eastAsia="Century Schoolbook"/>
        </w:rPr>
        <w:t xml:space="preserve"> Empirically, these</w:t>
      </w:r>
      <w:r w:rsidR="002347BA" w:rsidRPr="00036097">
        <w:rPr>
          <w:rFonts w:eastAsia="Century Schoolbook"/>
        </w:rPr>
        <w:t xml:space="preserve"> </w:t>
      </w:r>
      <w:r w:rsidR="00072EB2">
        <w:rPr>
          <w:rFonts w:eastAsia="Century Schoolbook"/>
        </w:rPr>
        <w:t>assets</w:t>
      </w:r>
      <w:r w:rsidR="00072EB2" w:rsidRPr="009F549F">
        <w:rPr>
          <w:rFonts w:eastAsia="Century Schoolbook"/>
        </w:rPr>
        <w:t xml:space="preserve"> </w:t>
      </w:r>
      <w:r w:rsidR="002347BA" w:rsidRPr="009F549F">
        <w:rPr>
          <w:rFonts w:eastAsia="Century Schoolbook"/>
        </w:rPr>
        <w:t>represent a fairly small share of the portfolios of the American rich.</w:t>
      </w:r>
      <w:r w:rsidR="002347BA" w:rsidRPr="009F549F">
        <w:rPr>
          <w:rFonts w:eastAsia="Century Schoolbook"/>
          <w:vertAlign w:val="superscript"/>
        </w:rPr>
        <w:footnoteReference w:id="128"/>
      </w:r>
      <w:r w:rsidR="002347BA" w:rsidRPr="009F549F">
        <w:rPr>
          <w:rFonts w:eastAsia="Century Schoolbook"/>
        </w:rPr>
        <w:t xml:space="preserve"> Some of them can also be valued using third-party data, such as the value reported by the owner to their insurer,</w:t>
      </w:r>
      <w:r w:rsidR="002347BA" w:rsidRPr="009F549F">
        <w:rPr>
          <w:rFonts w:eastAsia="Century Schoolbook"/>
          <w:vertAlign w:val="superscript"/>
        </w:rPr>
        <w:footnoteReference w:id="129"/>
      </w:r>
      <w:r w:rsidR="002347BA" w:rsidRPr="009F549F">
        <w:rPr>
          <w:rFonts w:eastAsia="Century Schoolbook"/>
        </w:rPr>
        <w:t xml:space="preserve"> or by making formulaic adjustments based on the purchase price. But th</w:t>
      </w:r>
      <w:r w:rsidR="00EA479D">
        <w:rPr>
          <w:rFonts w:eastAsia="Century Schoolbook"/>
        </w:rPr>
        <w:t>e</w:t>
      </w:r>
      <w:r w:rsidR="002347BA" w:rsidRPr="009F549F">
        <w:rPr>
          <w:rFonts w:eastAsia="Century Schoolbook"/>
        </w:rPr>
        <w:t xml:space="preserve"> share </w:t>
      </w:r>
      <w:r w:rsidR="00EA479D">
        <w:rPr>
          <w:rFonts w:eastAsia="Century Schoolbook"/>
        </w:rPr>
        <w:t xml:space="preserve">of hard-to-value assets </w:t>
      </w:r>
      <w:r w:rsidR="002347BA" w:rsidRPr="009F549F">
        <w:rPr>
          <w:rFonts w:eastAsia="Century Schoolbook"/>
        </w:rPr>
        <w:t>could grow if holding these assets would allow taxpayers to escape formulaic valuation and instead exploit the many gaps in most contemporary appraisal systems.</w:t>
      </w:r>
      <w:r w:rsidR="002347BA" w:rsidRPr="009F549F">
        <w:rPr>
          <w:rFonts w:eastAsia="Century Schoolbook"/>
          <w:vertAlign w:val="superscript"/>
        </w:rPr>
        <w:footnoteReference w:id="130"/>
      </w:r>
      <w:r w:rsidR="002347BA" w:rsidRPr="009F549F">
        <w:rPr>
          <w:rFonts w:eastAsia="Century Schoolbook"/>
        </w:rPr>
        <w:t xml:space="preserve"> </w:t>
      </w:r>
    </w:p>
    <w:p w14:paraId="66EAFFFE" w14:textId="56425581" w:rsidR="007B1344" w:rsidRPr="009F549F" w:rsidRDefault="002347BA">
      <w:pPr>
        <w:pStyle w:val="Heading2"/>
        <w:rPr>
          <w:rFonts w:ascii="Times New Roman" w:hAnsi="Times New Roman"/>
          <w:i/>
          <w:sz w:val="24"/>
        </w:rPr>
      </w:pPr>
      <w:bookmarkStart w:id="84" w:name="_Ref119430207"/>
      <w:bookmarkStart w:id="85" w:name="_Toc115088932"/>
      <w:bookmarkStart w:id="86" w:name="_Toc120019828"/>
      <w:r w:rsidRPr="009F549F">
        <w:rPr>
          <w:rFonts w:ascii="Times New Roman" w:hAnsi="Times New Roman"/>
          <w:i/>
          <w:sz w:val="24"/>
        </w:rPr>
        <w:lastRenderedPageBreak/>
        <w:t xml:space="preserve">C. Putting </w:t>
      </w:r>
      <w:r w:rsidR="00072EB2">
        <w:rPr>
          <w:rFonts w:ascii="Times New Roman" w:hAnsi="Times New Roman" w:cs="Times New Roman"/>
          <w:i/>
          <w:sz w:val="24"/>
          <w:szCs w:val="24"/>
        </w:rPr>
        <w:t>I</w:t>
      </w:r>
      <w:r w:rsidRPr="009F549F">
        <w:rPr>
          <w:rFonts w:ascii="Times New Roman" w:hAnsi="Times New Roman"/>
          <w:i/>
          <w:sz w:val="24"/>
        </w:rPr>
        <w:t>t Off Until Tomorrow: Retrospective Taxation and Interest Charges</w:t>
      </w:r>
      <w:bookmarkEnd w:id="84"/>
      <w:bookmarkEnd w:id="85"/>
      <w:bookmarkEnd w:id="86"/>
    </w:p>
    <w:p w14:paraId="606B92BB" w14:textId="5B60F4F8" w:rsidR="007B1344" w:rsidRPr="009F549F" w:rsidRDefault="002347BA">
      <w:pPr>
        <w:spacing w:before="240" w:after="240"/>
        <w:ind w:firstLine="720"/>
        <w:jc w:val="both"/>
        <w:rPr>
          <w:rFonts w:eastAsia="Century Schoolbook"/>
        </w:rPr>
      </w:pPr>
      <w:bookmarkStart w:id="87" w:name="_3o7alnk" w:colFirst="0" w:colLast="0"/>
      <w:bookmarkEnd w:id="87"/>
      <w:r w:rsidRPr="009F549F">
        <w:rPr>
          <w:rFonts w:eastAsia="Century Schoolbook"/>
        </w:rPr>
        <w:t xml:space="preserve"> Another major set of solutions to valuation depend on </w:t>
      </w:r>
      <w:r w:rsidRPr="00036097">
        <w:rPr>
          <w:rFonts w:eastAsia="Century Schoolbook"/>
        </w:rPr>
        <w:t>what</w:t>
      </w:r>
      <w:r w:rsidR="00C701B6" w:rsidRPr="00036097">
        <w:rPr>
          <w:rFonts w:eastAsia="Century Schoolbook"/>
        </w:rPr>
        <w:t xml:space="preserve"> i</w:t>
      </w:r>
      <w:r w:rsidRPr="00036097">
        <w:rPr>
          <w:rFonts w:eastAsia="Century Schoolbook"/>
        </w:rPr>
        <w:t>s</w:t>
      </w:r>
      <w:r w:rsidRPr="009F549F">
        <w:rPr>
          <w:rFonts w:eastAsia="Century Schoolbook"/>
        </w:rPr>
        <w:t xml:space="preserve"> usually termed “retrospective” taxation.</w:t>
      </w:r>
      <w:r w:rsidRPr="009F549F">
        <w:rPr>
          <w:rFonts w:eastAsia="Century Schoolbook"/>
          <w:vertAlign w:val="superscript"/>
        </w:rPr>
        <w:footnoteReference w:id="131"/>
      </w:r>
      <w:r w:rsidRPr="009F549F">
        <w:rPr>
          <w:rFonts w:eastAsia="Century Schoolbook"/>
        </w:rPr>
        <w:t xml:space="preserve"> Retrospective taxation reforms have been proposed for both income taxes and wealth taxes.</w:t>
      </w:r>
      <w:bookmarkStart w:id="88" w:name="_Ref115641644"/>
      <w:r w:rsidRPr="009F549F">
        <w:rPr>
          <w:rFonts w:eastAsia="Century Schoolbook"/>
          <w:vertAlign w:val="superscript"/>
        </w:rPr>
        <w:footnoteReference w:id="132"/>
      </w:r>
      <w:bookmarkEnd w:id="88"/>
      <w:r w:rsidRPr="009F549F">
        <w:rPr>
          <w:rFonts w:eastAsia="Century Schoolbook"/>
        </w:rPr>
        <w:t xml:space="preserve"> In its simplest forms, such as in the Billionaires Income Tax (“BIT”) bill recently proposed by Senator Ron Wyden, a retrospective tax is just the standard realization rule but with an extra tax that amounts to an interest charge for the value of the deferred tax liability.</w:t>
      </w:r>
      <w:r w:rsidRPr="009F549F">
        <w:rPr>
          <w:rFonts w:eastAsia="Century Schoolbook"/>
          <w:vertAlign w:val="superscript"/>
        </w:rPr>
        <w:footnoteReference w:id="133"/>
      </w:r>
      <w:r w:rsidRPr="009F549F">
        <w:rPr>
          <w:rFonts w:eastAsia="Century Schoolbook"/>
        </w:rPr>
        <w:t xml:space="preserve"> The BIT assumes that an asset has grown in value an equal amount each year</w:t>
      </w:r>
      <w:r w:rsidR="00CC0327" w:rsidRPr="00036097">
        <w:rPr>
          <w:rFonts w:eastAsia="Century Schoolbook"/>
        </w:rPr>
        <w:t xml:space="preserve"> and</w:t>
      </w:r>
      <w:r w:rsidRPr="009F549F">
        <w:rPr>
          <w:rFonts w:eastAsia="Century Schoolbook"/>
        </w:rPr>
        <w:t xml:space="preserve"> then charges interest as though the taxpayer borrowed from the government </w:t>
      </w:r>
      <w:r w:rsidR="00E63BF4">
        <w:rPr>
          <w:rFonts w:ascii="Century Schoolbook" w:eastAsia="Century Schoolbook" w:hAnsi="Century Schoolbook" w:cs="Century Schoolbook"/>
        </w:rPr>
        <w:t xml:space="preserve">in </w:t>
      </w:r>
      <w:r w:rsidRPr="009F549F">
        <w:rPr>
          <w:rFonts w:eastAsia="Century Schoolbook"/>
        </w:rPr>
        <w:t>an amount equal to the tax that would have been owed on that increase in value.</w:t>
      </w:r>
      <w:r w:rsidRPr="009F549F">
        <w:rPr>
          <w:rFonts w:eastAsia="Century Schoolbook"/>
          <w:vertAlign w:val="superscript"/>
        </w:rPr>
        <w:footnoteReference w:id="134"/>
      </w:r>
      <w:r w:rsidRPr="009F549F">
        <w:rPr>
          <w:rFonts w:eastAsia="Century Schoolbook"/>
        </w:rPr>
        <w:t xml:space="preserve"> </w:t>
      </w:r>
    </w:p>
    <w:p w14:paraId="19E8F983" w14:textId="2D602CC8" w:rsidR="007B1344" w:rsidRPr="009F549F" w:rsidRDefault="002347BA">
      <w:pPr>
        <w:spacing w:before="240" w:after="240"/>
        <w:ind w:firstLine="720"/>
        <w:jc w:val="both"/>
        <w:rPr>
          <w:rFonts w:eastAsia="Century Schoolbook"/>
        </w:rPr>
      </w:pPr>
      <w:r w:rsidRPr="009F549F">
        <w:rPr>
          <w:rFonts w:eastAsia="Century Schoolbook"/>
        </w:rPr>
        <w:t xml:space="preserve">An example might be helpful. Suppose </w:t>
      </w:r>
      <w:proofErr w:type="spellStart"/>
      <w:r w:rsidRPr="009F549F">
        <w:rPr>
          <w:rFonts w:eastAsia="Century Schoolbook"/>
        </w:rPr>
        <w:t>Spacebook</w:t>
      </w:r>
      <w:proofErr w:type="spellEnd"/>
      <w:r w:rsidRPr="009F549F">
        <w:rPr>
          <w:rFonts w:eastAsia="Century Schoolbook"/>
        </w:rPr>
        <w:t xml:space="preserve"> stock grew from $100x to $1100x between years one and eleven</w:t>
      </w:r>
      <w:r w:rsidR="000A7598" w:rsidRPr="00036097">
        <w:rPr>
          <w:rFonts w:eastAsia="Century Schoolbook"/>
        </w:rPr>
        <w:t xml:space="preserve"> and</w:t>
      </w:r>
      <w:r w:rsidRPr="009F549F">
        <w:rPr>
          <w:rFonts w:eastAsia="Century Schoolbook"/>
        </w:rPr>
        <w:t xml:space="preserve"> then was sold in year eleven. The BIT assumes </w:t>
      </w:r>
      <w:proofErr w:type="spellStart"/>
      <w:r w:rsidRPr="009F549F">
        <w:rPr>
          <w:rFonts w:eastAsia="Century Schoolbook"/>
        </w:rPr>
        <w:t>Spacebook</w:t>
      </w:r>
      <w:proofErr w:type="spellEnd"/>
      <w:r w:rsidRPr="009F549F">
        <w:rPr>
          <w:rFonts w:eastAsia="Century Schoolbook"/>
        </w:rPr>
        <w:t xml:space="preserve"> increased from $100x to $200x in year two ($1000x in total appreciation / 10 years ownership = $100x growth per year). At a 20</w:t>
      </w:r>
      <w:r w:rsidR="000A7598" w:rsidRPr="00036097">
        <w:rPr>
          <w:rFonts w:eastAsia="Century Schoolbook"/>
        </w:rPr>
        <w:t xml:space="preserve"> percent</w:t>
      </w:r>
      <w:r w:rsidRPr="009F549F">
        <w:rPr>
          <w:rFonts w:eastAsia="Century Schoolbook"/>
        </w:rPr>
        <w:t xml:space="preserve"> tax </w:t>
      </w:r>
      <w:r w:rsidRPr="009F549F">
        <w:rPr>
          <w:rFonts w:eastAsia="Century Schoolbook"/>
        </w:rPr>
        <w:lastRenderedPageBreak/>
        <w:t>rate, that $100x increase would have caused a $20x tax bill. Upon sale in year el</w:t>
      </w:r>
      <w:bookmarkStart w:id="89" w:name="_Hlt115641659"/>
      <w:bookmarkEnd w:id="89"/>
      <w:r w:rsidRPr="009F549F">
        <w:rPr>
          <w:rFonts w:eastAsia="Century Schoolbook"/>
        </w:rPr>
        <w:t xml:space="preserve">even, taxpayer </w:t>
      </w:r>
      <w:proofErr w:type="spellStart"/>
      <w:r w:rsidRPr="009F549F">
        <w:rPr>
          <w:rFonts w:eastAsia="Century Schoolbook"/>
        </w:rPr>
        <w:t>Marff</w:t>
      </w:r>
      <w:proofErr w:type="spellEnd"/>
      <w:r w:rsidRPr="009F549F">
        <w:rPr>
          <w:rFonts w:eastAsia="Century Schoolbook"/>
        </w:rPr>
        <w:t xml:space="preserve"> </w:t>
      </w:r>
      <w:proofErr w:type="spellStart"/>
      <w:r w:rsidRPr="009F549F">
        <w:rPr>
          <w:rFonts w:eastAsia="Century Schoolbook"/>
        </w:rPr>
        <w:t>Bezkerburg</w:t>
      </w:r>
      <w:proofErr w:type="spellEnd"/>
      <w:r w:rsidRPr="009F549F">
        <w:rPr>
          <w:rFonts w:eastAsia="Century Schoolbook"/>
        </w:rPr>
        <w:t xml:space="preserve"> will owe tax on all $1000x in gain, plus nine years’ worth of interest on the $20x year</w:t>
      </w:r>
      <w:r w:rsidR="00D415E0">
        <w:rPr>
          <w:rFonts w:eastAsia="Century Schoolbook"/>
        </w:rPr>
        <w:t>-</w:t>
      </w:r>
      <w:r w:rsidRPr="009F549F">
        <w:rPr>
          <w:rFonts w:eastAsia="Century Schoolbook"/>
        </w:rPr>
        <w:t>two tax bill, eight years’ worth of interest on the $20x year</w:t>
      </w:r>
      <w:r w:rsidR="00D415E0">
        <w:rPr>
          <w:rFonts w:eastAsia="Century Schoolbook"/>
        </w:rPr>
        <w:t>-</w:t>
      </w:r>
      <w:r w:rsidRPr="009F549F">
        <w:rPr>
          <w:rFonts w:eastAsia="Century Schoolbook"/>
        </w:rPr>
        <w:t xml:space="preserve">three tax bill, and so on.  </w:t>
      </w:r>
    </w:p>
    <w:p w14:paraId="19B8C772" w14:textId="0CE3EC1B" w:rsidR="007B1344" w:rsidRPr="009F549F" w:rsidRDefault="002347BA">
      <w:pPr>
        <w:spacing w:before="240" w:after="240"/>
        <w:ind w:firstLine="720"/>
        <w:jc w:val="both"/>
        <w:rPr>
          <w:rFonts w:eastAsia="Century Schoolbook"/>
        </w:rPr>
      </w:pPr>
      <w:r w:rsidRPr="009F549F">
        <w:rPr>
          <w:rFonts w:eastAsia="Century Schoolbook"/>
        </w:rPr>
        <w:t xml:space="preserve">There are a variety of other ways of implementing a retrospective tax, each with different tradeoffs. For instance, we could use different assumptions about when assets gained in value, charge different interest rates for each asset or category of asset, and so on. </w:t>
      </w:r>
      <w:r w:rsidR="002A2C44" w:rsidRPr="00036097">
        <w:rPr>
          <w:rFonts w:eastAsia="Century Schoolbook"/>
        </w:rPr>
        <w:t xml:space="preserve">Professor </w:t>
      </w:r>
      <w:r w:rsidRPr="009F549F">
        <w:rPr>
          <w:rFonts w:eastAsia="Century Schoolbook"/>
        </w:rPr>
        <w:t xml:space="preserve">Ari </w:t>
      </w:r>
      <w:proofErr w:type="spellStart"/>
      <w:r w:rsidRPr="009F549F">
        <w:rPr>
          <w:rFonts w:eastAsia="Century Schoolbook"/>
        </w:rPr>
        <w:t>Glogower</w:t>
      </w:r>
      <w:proofErr w:type="spellEnd"/>
      <w:r w:rsidRPr="009F549F">
        <w:rPr>
          <w:rFonts w:eastAsia="Century Schoolbook"/>
        </w:rPr>
        <w:t xml:space="preserve"> has provided a thorough summary and critique of most of these efforts,</w:t>
      </w:r>
      <w:r w:rsidRPr="009F549F">
        <w:rPr>
          <w:rFonts w:eastAsia="Century Schoolbook"/>
          <w:vertAlign w:val="superscript"/>
        </w:rPr>
        <w:footnoteReference w:id="135"/>
      </w:r>
      <w:r w:rsidRPr="009F549F">
        <w:rPr>
          <w:rFonts w:eastAsia="Century Schoolbook"/>
        </w:rPr>
        <w:t xml:space="preserve"> and so we will offer a general observation about retrospective methods, briefly summarize his summary, </w:t>
      </w:r>
      <w:r w:rsidR="00D415E0">
        <w:rPr>
          <w:rFonts w:eastAsia="Century Schoolbook"/>
        </w:rPr>
        <w:t xml:space="preserve">and </w:t>
      </w:r>
      <w:r w:rsidRPr="009F549F">
        <w:rPr>
          <w:rFonts w:eastAsia="Century Schoolbook"/>
        </w:rPr>
        <w:t xml:space="preserve">then add a few small points. </w:t>
      </w:r>
    </w:p>
    <w:p w14:paraId="60C8245F" w14:textId="484C01A8" w:rsidR="007B1344" w:rsidRPr="009F549F" w:rsidRDefault="002347BA">
      <w:pPr>
        <w:spacing w:before="240" w:after="240"/>
        <w:ind w:firstLine="720"/>
        <w:jc w:val="both"/>
        <w:rPr>
          <w:rFonts w:eastAsia="Century Schoolbook"/>
        </w:rPr>
      </w:pPr>
      <w:bookmarkStart w:id="90" w:name="_23ckvvd" w:colFirst="0" w:colLast="0"/>
      <w:bookmarkEnd w:id="90"/>
      <w:r w:rsidRPr="009F549F">
        <w:rPr>
          <w:rFonts w:eastAsia="Century Schoolbook"/>
        </w:rPr>
        <w:t>A central challenge for retrospective methods is what one of us has termed the “political optionality” problem.</w:t>
      </w:r>
      <w:r w:rsidRPr="009F549F">
        <w:rPr>
          <w:rFonts w:eastAsia="Century Schoolbook"/>
          <w:vertAlign w:val="superscript"/>
        </w:rPr>
        <w:footnoteReference w:id="136"/>
      </w:r>
      <w:r w:rsidRPr="009F549F">
        <w:rPr>
          <w:rFonts w:eastAsia="Century Schoolbook"/>
        </w:rPr>
        <w:t xml:space="preserve"> By their nature, retrospective charges are not payable until some future event when the taxpayer sells or otherwise disposes of their investment. As interest charges pile up, the size of this expected future tax bill mounts. Savvy taxpayers will thus start thinking about ways to ensure that the bill never comes due.</w:t>
      </w:r>
      <w:r w:rsidRPr="009F549F">
        <w:rPr>
          <w:rFonts w:eastAsia="Century Schoolbook"/>
          <w:vertAlign w:val="superscript"/>
        </w:rPr>
        <w:footnoteReference w:id="137"/>
      </w:r>
      <w:r w:rsidRPr="009F549F">
        <w:rPr>
          <w:rFonts w:eastAsia="Century Schoolbook"/>
        </w:rPr>
        <w:t xml:space="preserve"> In state taxing systems, another </w:t>
      </w:r>
      <w:r w:rsidR="00560C76" w:rsidRPr="009F549F">
        <w:rPr>
          <w:rFonts w:eastAsia="Century Schoolbook"/>
        </w:rPr>
        <w:t>related option</w:t>
      </w:r>
      <w:r w:rsidRPr="009F549F">
        <w:rPr>
          <w:rFonts w:eastAsia="Century Schoolbook"/>
        </w:rPr>
        <w:t xml:space="preserve"> might be to relocate to another jurisdiction where the asset would no longer be subject to tax. </w:t>
      </w:r>
    </w:p>
    <w:p w14:paraId="7928470C" w14:textId="3B4BCD55" w:rsidR="007B1344" w:rsidRPr="009F549F" w:rsidRDefault="00EE2EA4">
      <w:pPr>
        <w:spacing w:before="240" w:after="240"/>
        <w:ind w:firstLine="720"/>
        <w:jc w:val="both"/>
        <w:rPr>
          <w:rFonts w:eastAsia="Century Schoolbook"/>
        </w:rPr>
      </w:pPr>
      <w:r>
        <w:rPr>
          <w:rFonts w:ascii="Century Schoolbook" w:eastAsia="Century Schoolbook" w:hAnsi="Century Schoolbook" w:cs="Century Schoolbook"/>
        </w:rPr>
        <w:t>A key aspect of the political optionality problem is that delayed</w:t>
      </w:r>
      <w:r w:rsidR="002347BA" w:rsidRPr="009F549F">
        <w:rPr>
          <w:rFonts w:eastAsia="Century Schoolbook"/>
        </w:rPr>
        <w:t xml:space="preserve"> tax bills </w:t>
      </w:r>
      <w:r>
        <w:rPr>
          <w:rFonts w:ascii="Century Schoolbook" w:eastAsia="Century Schoolbook" w:hAnsi="Century Schoolbook" w:cs="Century Schoolbook"/>
        </w:rPr>
        <w:t>create incentives for taxpayers</w:t>
      </w:r>
      <w:r w:rsidR="002347BA" w:rsidRPr="00036097">
        <w:rPr>
          <w:rFonts w:eastAsia="Century Schoolbook"/>
        </w:rPr>
        <w:t xml:space="preserve"> </w:t>
      </w:r>
      <w:r w:rsidR="002347BA" w:rsidRPr="009F549F">
        <w:rPr>
          <w:rFonts w:eastAsia="Century Schoolbook"/>
        </w:rPr>
        <w:t xml:space="preserve">to lobby to change the rules. </w:t>
      </w:r>
      <w:r w:rsidR="002347BA" w:rsidRPr="00036097">
        <w:rPr>
          <w:rFonts w:eastAsia="Century Schoolbook"/>
        </w:rPr>
        <w:t>We</w:t>
      </w:r>
      <w:r w:rsidR="0015471C" w:rsidRPr="00036097">
        <w:rPr>
          <w:rFonts w:eastAsia="Century Schoolbook"/>
        </w:rPr>
        <w:t xml:space="preserve"> ha</w:t>
      </w:r>
      <w:r w:rsidR="002347BA" w:rsidRPr="00036097">
        <w:rPr>
          <w:rFonts w:eastAsia="Century Schoolbook"/>
        </w:rPr>
        <w:t>ve</w:t>
      </w:r>
      <w:r w:rsidR="002347BA" w:rsidRPr="009F549F">
        <w:rPr>
          <w:rFonts w:eastAsia="Century Schoolbook"/>
        </w:rPr>
        <w:t xml:space="preserve"> seen dramatic evidence of this tendency in the U.S. estate tax, where over time the expectant heirs of the country’s largest fortunes have funded political movements aimed at minimizing the tax on their inheritance</w:t>
      </w:r>
      <w:r w:rsidR="009E6B68">
        <w:rPr>
          <w:rFonts w:eastAsia="Century Schoolbook"/>
        </w:rPr>
        <w:t>,</w:t>
      </w:r>
      <w:r w:rsidR="002347BA" w:rsidRPr="009F549F">
        <w:rPr>
          <w:rFonts w:eastAsia="Century Schoolbook"/>
        </w:rPr>
        <w:t xml:space="preserve"> and succeeded at systematically </w:t>
      </w:r>
      <w:r w:rsidR="002347BA" w:rsidRPr="009F549F">
        <w:rPr>
          <w:rFonts w:eastAsia="Century Schoolbook"/>
        </w:rPr>
        <w:lastRenderedPageBreak/>
        <w:t>paring the tax down to a nub of what it once was.</w:t>
      </w:r>
      <w:r w:rsidR="002347BA" w:rsidRPr="009F549F">
        <w:rPr>
          <w:rFonts w:eastAsia="Century Schoolbook"/>
          <w:vertAlign w:val="superscript"/>
        </w:rPr>
        <w:footnoteReference w:id="138"/>
      </w:r>
      <w:r w:rsidR="002347BA" w:rsidRPr="009F549F">
        <w:rPr>
          <w:rFonts w:eastAsia="Century Schoolbook"/>
        </w:rPr>
        <w:t xml:space="preserve"> We expect that a delayed-payment system for realized gains would face similar </w:t>
      </w:r>
      <w:r>
        <w:rPr>
          <w:rFonts w:ascii="Century Schoolbook" w:eastAsia="Century Schoolbook" w:hAnsi="Century Schoolbook" w:cs="Century Schoolbook"/>
        </w:rPr>
        <w:t>pressure</w:t>
      </w:r>
      <w:r w:rsidR="007744DA">
        <w:rPr>
          <w:rFonts w:ascii="Century Schoolbook" w:eastAsia="Century Schoolbook" w:hAnsi="Century Schoolbook" w:cs="Century Schoolbook"/>
        </w:rPr>
        <w:t>s</w:t>
      </w:r>
      <w:r w:rsidR="002347BA" w:rsidRPr="009F549F">
        <w:rPr>
          <w:rFonts w:eastAsia="Century Schoolbook"/>
        </w:rPr>
        <w:t xml:space="preserve">.  </w:t>
      </w:r>
    </w:p>
    <w:p w14:paraId="7420ABBC" w14:textId="64D6FB83" w:rsidR="007B1344" w:rsidRPr="009F549F" w:rsidRDefault="002347BA">
      <w:pPr>
        <w:spacing w:before="240" w:after="240"/>
        <w:ind w:firstLine="720"/>
        <w:jc w:val="both"/>
        <w:rPr>
          <w:rFonts w:eastAsia="Century Schoolbook"/>
        </w:rPr>
      </w:pPr>
      <w:r w:rsidRPr="009F549F">
        <w:rPr>
          <w:rFonts w:eastAsia="Century Schoolbook"/>
        </w:rPr>
        <w:t>Any retrospective system will suffer from the political optionality problem, but, at least in theory, retrospective systems could eliminate the financial incentive to defer gains</w:t>
      </w:r>
      <w:r w:rsidR="00AA1692">
        <w:rPr>
          <w:rFonts w:ascii="Century Schoolbook" w:eastAsia="Century Schoolbook" w:hAnsi="Century Schoolbook" w:cs="Century Schoolbook"/>
        </w:rPr>
        <w:t xml:space="preserve">. </w:t>
      </w:r>
      <w:r w:rsidRPr="009F549F">
        <w:rPr>
          <w:rFonts w:eastAsia="Century Schoolbook"/>
        </w:rPr>
        <w:t>However,</w:t>
      </w:r>
      <w:r>
        <w:rPr>
          <w:rFonts w:ascii="Century Schoolbook" w:eastAsia="Century Schoolbook" w:hAnsi="Century Schoolbook" w:cs="Century Schoolbook"/>
        </w:rPr>
        <w:t xml:space="preserve"> </w:t>
      </w:r>
      <w:r w:rsidRPr="009F549F">
        <w:rPr>
          <w:rFonts w:eastAsia="Century Schoolbook"/>
        </w:rPr>
        <w:t xml:space="preserve">as </w:t>
      </w:r>
      <w:r w:rsidRPr="00036097">
        <w:rPr>
          <w:rFonts w:eastAsia="Century Schoolbook"/>
        </w:rPr>
        <w:t>Prof</w:t>
      </w:r>
      <w:r w:rsidR="00DC7720" w:rsidRPr="00036097">
        <w:rPr>
          <w:rFonts w:eastAsia="Century Schoolbook"/>
        </w:rPr>
        <w:t>essor</w:t>
      </w:r>
      <w:r w:rsidRPr="009F549F">
        <w:rPr>
          <w:rFonts w:eastAsia="Century Schoolbook"/>
        </w:rPr>
        <w:t xml:space="preserve"> </w:t>
      </w:r>
      <w:proofErr w:type="spellStart"/>
      <w:r w:rsidRPr="009F549F">
        <w:rPr>
          <w:rFonts w:eastAsia="Century Schoolbook"/>
        </w:rPr>
        <w:t>Glogower</w:t>
      </w:r>
      <w:proofErr w:type="spellEnd"/>
      <w:r w:rsidRPr="009F549F">
        <w:rPr>
          <w:rFonts w:eastAsia="Century Schoolbook"/>
        </w:rPr>
        <w:t xml:space="preserve"> has observed, most existing retrospective methods would not actually eliminate </w:t>
      </w:r>
      <w:r w:rsidR="007744DA">
        <w:rPr>
          <w:rFonts w:ascii="Century Schoolbook" w:eastAsia="Century Schoolbook" w:hAnsi="Century Schoolbook" w:cs="Century Schoolbook"/>
        </w:rPr>
        <w:t xml:space="preserve">this financial </w:t>
      </w:r>
      <w:r w:rsidRPr="009F549F">
        <w:rPr>
          <w:rFonts w:eastAsia="Century Schoolbook"/>
        </w:rPr>
        <w:t>incentive to defer realization of gains, and many of them would also preserve the incentive to accelerate realization of losses.</w:t>
      </w:r>
      <w:r w:rsidRPr="009F549F">
        <w:rPr>
          <w:rFonts w:eastAsia="Century Schoolbook"/>
          <w:vertAlign w:val="superscript"/>
        </w:rPr>
        <w:footnoteReference w:id="139"/>
      </w:r>
      <w:r w:rsidRPr="009F549F">
        <w:rPr>
          <w:rFonts w:eastAsia="Century Schoolbook"/>
        </w:rPr>
        <w:t xml:space="preserve"> </w:t>
      </w:r>
      <w:r w:rsidR="007744DA">
        <w:rPr>
          <w:rFonts w:ascii="Century Schoolbook" w:eastAsia="Century Schoolbook" w:hAnsi="Century Schoolbook" w:cs="Century Schoolbook"/>
        </w:rPr>
        <w:t xml:space="preserve">Consider again </w:t>
      </w:r>
      <w:r w:rsidRPr="009F549F">
        <w:rPr>
          <w:rFonts w:eastAsia="Century Schoolbook"/>
        </w:rPr>
        <w:t>the BIT</w:t>
      </w:r>
      <w:r w:rsidR="00AA1692">
        <w:rPr>
          <w:rFonts w:ascii="Century Schoolbook" w:eastAsia="Century Schoolbook" w:hAnsi="Century Schoolbook" w:cs="Century Schoolbook"/>
        </w:rPr>
        <w:t>.</w:t>
      </w:r>
      <w:r w:rsidRPr="009F549F">
        <w:rPr>
          <w:rFonts w:eastAsia="Century Schoolbook"/>
        </w:rPr>
        <w:t xml:space="preserve"> If </w:t>
      </w:r>
      <w:proofErr w:type="spellStart"/>
      <w:r w:rsidRPr="009F549F">
        <w:rPr>
          <w:rFonts w:eastAsia="Century Schoolbook"/>
        </w:rPr>
        <w:t>Marff</w:t>
      </w:r>
      <w:proofErr w:type="spellEnd"/>
      <w:r w:rsidRPr="009F549F">
        <w:rPr>
          <w:rFonts w:eastAsia="Century Schoolbook"/>
        </w:rPr>
        <w:t xml:space="preserve"> believes that he can earn a better return on his investments than the interest rate charged by the statute, he </w:t>
      </w:r>
      <w:r w:rsidR="007744DA">
        <w:rPr>
          <w:rFonts w:ascii="Century Schoolbook" w:eastAsia="Century Schoolbook" w:hAnsi="Century Schoolbook" w:cs="Century Schoolbook"/>
        </w:rPr>
        <w:t xml:space="preserve">would </w:t>
      </w:r>
      <w:r w:rsidRPr="009F549F">
        <w:rPr>
          <w:rFonts w:eastAsia="Century Schoolbook"/>
        </w:rPr>
        <w:t xml:space="preserve">still prefer to </w:t>
      </w:r>
      <w:r w:rsidR="007744DA">
        <w:rPr>
          <w:rFonts w:ascii="Century Schoolbook" w:eastAsia="Century Schoolbook" w:hAnsi="Century Schoolbook" w:cs="Century Schoolbook"/>
        </w:rPr>
        <w:t xml:space="preserve">delay </w:t>
      </w:r>
      <w:r w:rsidR="00B60820">
        <w:rPr>
          <w:rFonts w:ascii="Century Schoolbook" w:eastAsia="Century Schoolbook" w:hAnsi="Century Schoolbook" w:cs="Century Schoolbook"/>
        </w:rPr>
        <w:t xml:space="preserve">paying </w:t>
      </w:r>
      <w:r w:rsidR="007744DA">
        <w:rPr>
          <w:rFonts w:ascii="Century Schoolbook" w:eastAsia="Century Schoolbook" w:hAnsi="Century Schoolbook" w:cs="Century Schoolbook"/>
        </w:rPr>
        <w:t>tax</w:t>
      </w:r>
      <w:r w:rsidRPr="009F549F">
        <w:rPr>
          <w:rFonts w:eastAsia="Century Schoolbook"/>
        </w:rPr>
        <w:t xml:space="preserve">. In effect, he </w:t>
      </w:r>
      <w:r w:rsidR="007744DA">
        <w:rPr>
          <w:rFonts w:ascii="Century Schoolbook" w:eastAsia="Century Schoolbook" w:hAnsi="Century Schoolbook" w:cs="Century Schoolbook"/>
        </w:rPr>
        <w:t xml:space="preserve">would be </w:t>
      </w:r>
      <w:r w:rsidRPr="009F549F">
        <w:rPr>
          <w:rFonts w:eastAsia="Century Schoolbook"/>
        </w:rPr>
        <w:t>borrowing from the government at the statutory rate (</w:t>
      </w:r>
      <w:r w:rsidR="009E6B68">
        <w:rPr>
          <w:rFonts w:eastAsia="Century Schoolbook"/>
        </w:rPr>
        <w:t>on average at a rate of about 2.9 percent</w:t>
      </w:r>
      <w:r w:rsidRPr="009F549F">
        <w:rPr>
          <w:rFonts w:eastAsia="Century Schoolbook"/>
        </w:rPr>
        <w:t xml:space="preserve">) in order to invest in his business, which he expects to average </w:t>
      </w:r>
      <w:r w:rsidR="00B60820">
        <w:rPr>
          <w:rFonts w:eastAsia="Century Schoolbook"/>
        </w:rPr>
        <w:t xml:space="preserve">(say) </w:t>
      </w:r>
      <w:r w:rsidRPr="009F549F">
        <w:rPr>
          <w:rFonts w:eastAsia="Century Schoolbook"/>
        </w:rPr>
        <w:t>a 10</w:t>
      </w:r>
      <w:r w:rsidR="00035F49" w:rsidRPr="00036097">
        <w:rPr>
          <w:rFonts w:eastAsia="Century Schoolbook"/>
        </w:rPr>
        <w:t xml:space="preserve"> percent</w:t>
      </w:r>
      <w:r w:rsidRPr="009F549F">
        <w:rPr>
          <w:rFonts w:eastAsia="Century Schoolbook"/>
        </w:rPr>
        <w:t xml:space="preserve"> return</w:t>
      </w:r>
      <w:r w:rsidR="00AA1692">
        <w:rPr>
          <w:rFonts w:ascii="Century Schoolbook" w:eastAsia="Century Schoolbook" w:hAnsi="Century Schoolbook" w:cs="Century Schoolbook"/>
        </w:rPr>
        <w:t>.</w:t>
      </w:r>
      <w:r w:rsidRPr="009F549F">
        <w:rPr>
          <w:rFonts w:eastAsia="Century Schoolbook"/>
        </w:rPr>
        <w:t xml:space="preserve"> Similarly, if </w:t>
      </w:r>
      <w:proofErr w:type="spellStart"/>
      <w:r w:rsidRPr="009F549F">
        <w:rPr>
          <w:rFonts w:eastAsia="Century Schoolbook"/>
        </w:rPr>
        <w:t>Marff</w:t>
      </w:r>
      <w:proofErr w:type="spellEnd"/>
      <w:r w:rsidRPr="009F549F">
        <w:rPr>
          <w:rFonts w:eastAsia="Century Schoolbook"/>
        </w:rPr>
        <w:t xml:space="preserve"> believes that most of the gain in value of his stock will occur in years one and two, he will believe that he is getting a bigger bargain the longer he holds the stock</w:t>
      </w:r>
      <w:r w:rsidR="001C613C" w:rsidRPr="00036097">
        <w:rPr>
          <w:rFonts w:eastAsia="Century Schoolbook"/>
        </w:rPr>
        <w:t xml:space="preserve"> because </w:t>
      </w:r>
      <w:r w:rsidR="00B60820">
        <w:rPr>
          <w:rFonts w:eastAsia="Century Schoolbook"/>
        </w:rPr>
        <w:t xml:space="preserve">by assuming equal gains each year, </w:t>
      </w:r>
      <w:r w:rsidRPr="009F549F">
        <w:rPr>
          <w:rFonts w:eastAsia="Century Schoolbook"/>
        </w:rPr>
        <w:t xml:space="preserve">the statutory formula shifts interest from early years, when the gain in value really occurred, to later years of </w:t>
      </w:r>
      <w:proofErr w:type="spellStart"/>
      <w:r w:rsidRPr="009F549F">
        <w:rPr>
          <w:rFonts w:eastAsia="Century Schoolbook"/>
        </w:rPr>
        <w:t>Marff’s</w:t>
      </w:r>
      <w:proofErr w:type="spellEnd"/>
      <w:r w:rsidRPr="009F549F">
        <w:rPr>
          <w:rFonts w:eastAsia="Century Schoolbook"/>
        </w:rPr>
        <w:t xml:space="preserve"> holding period.</w:t>
      </w:r>
      <w:r w:rsidRPr="009F549F">
        <w:rPr>
          <w:rFonts w:eastAsia="Century Schoolbook"/>
          <w:vertAlign w:val="superscript"/>
        </w:rPr>
        <w:footnoteReference w:id="140"/>
      </w:r>
      <w:r w:rsidRPr="009F549F">
        <w:rPr>
          <w:rFonts w:eastAsia="Century Schoolbook"/>
        </w:rPr>
        <w:t xml:space="preserve"> The longer the holding period, the larger the shift. </w:t>
      </w:r>
    </w:p>
    <w:p w14:paraId="24693CE4" w14:textId="24347F01" w:rsidR="007B1344" w:rsidRPr="009F549F" w:rsidRDefault="002347BA">
      <w:pPr>
        <w:spacing w:before="240" w:after="240"/>
        <w:ind w:firstLine="720"/>
        <w:jc w:val="both"/>
        <w:rPr>
          <w:rFonts w:eastAsia="Century Schoolbook"/>
        </w:rPr>
      </w:pPr>
      <w:r w:rsidRPr="009F549F">
        <w:rPr>
          <w:rFonts w:eastAsia="Century Schoolbook"/>
        </w:rPr>
        <w:t xml:space="preserve">Even the most sophisticated retrospective systems, such as the dynamically adjusting model proposed by economists Alan Auerbach and David Bradford, fall </w:t>
      </w:r>
      <w:r w:rsidRPr="009F549F">
        <w:rPr>
          <w:rFonts w:eastAsia="Century Schoolbook"/>
        </w:rPr>
        <w:lastRenderedPageBreak/>
        <w:t>short under real-world conditions.</w:t>
      </w:r>
      <w:r w:rsidRPr="009F549F">
        <w:rPr>
          <w:rFonts w:eastAsia="Century Schoolbook"/>
          <w:vertAlign w:val="superscript"/>
        </w:rPr>
        <w:footnoteReference w:id="141"/>
      </w:r>
      <w:r w:rsidRPr="009F549F">
        <w:rPr>
          <w:rFonts w:eastAsia="Century Schoolbook"/>
        </w:rPr>
        <w:t xml:space="preserve"> </w:t>
      </w:r>
      <w:r w:rsidR="007744DA">
        <w:rPr>
          <w:rFonts w:ascii="Century Schoolbook" w:eastAsia="Century Schoolbook" w:hAnsi="Century Schoolbook" w:cs="Century Schoolbook"/>
        </w:rPr>
        <w:t xml:space="preserve"> </w:t>
      </w:r>
      <w:r w:rsidRPr="009F549F">
        <w:rPr>
          <w:rFonts w:eastAsia="Century Schoolbook"/>
        </w:rPr>
        <w:t>Auerbach and Bradford improve over the simple interest charge with a complex formula that avoids the simplifying assumption that assets gained equal value every year</w:t>
      </w:r>
      <w:r w:rsidR="00AA1692">
        <w:rPr>
          <w:rFonts w:ascii="Century Schoolbook" w:eastAsia="Century Schoolbook" w:hAnsi="Century Schoolbook" w:cs="Century Schoolbook"/>
        </w:rPr>
        <w:t xml:space="preserve">. </w:t>
      </w:r>
      <w:r w:rsidRPr="009F549F">
        <w:rPr>
          <w:rFonts w:eastAsia="Century Schoolbook"/>
        </w:rPr>
        <w:t>They prove mathematically that their method should leave taxpayers perfectly indifferent to the timing of realization so long as it is the case that income taxes do not burden the “risky return” on assets.</w:t>
      </w:r>
      <w:r w:rsidRPr="009F549F">
        <w:rPr>
          <w:rFonts w:eastAsia="Century Schoolbook"/>
          <w:vertAlign w:val="superscript"/>
        </w:rPr>
        <w:footnoteReference w:id="142"/>
      </w:r>
      <w:r w:rsidRPr="009F549F">
        <w:rPr>
          <w:rFonts w:eastAsia="Century Schoolbook"/>
        </w:rPr>
        <w:t xml:space="preserve"> </w:t>
      </w:r>
      <w:r w:rsidR="007744DA">
        <w:rPr>
          <w:rFonts w:ascii="Century Schoolbook" w:eastAsia="Century Schoolbook" w:hAnsi="Century Schoolbook" w:cs="Century Schoolbook"/>
        </w:rPr>
        <w:t xml:space="preserve"> </w:t>
      </w:r>
      <w:r w:rsidRPr="009F549F">
        <w:rPr>
          <w:rFonts w:eastAsia="Century Schoolbook"/>
        </w:rPr>
        <w:t>The intuition behind their result is simple</w:t>
      </w:r>
      <w:r w:rsidR="00AA1692">
        <w:rPr>
          <w:rFonts w:ascii="Century Schoolbook" w:eastAsia="Century Schoolbook" w:hAnsi="Century Schoolbook" w:cs="Century Schoolbook"/>
        </w:rPr>
        <w:t xml:space="preserve">. </w:t>
      </w:r>
      <w:r w:rsidRPr="009F549F">
        <w:rPr>
          <w:rFonts w:eastAsia="Century Schoolbook"/>
        </w:rPr>
        <w:t>Government imposes a tax that, at every point in time, looks to the taxpayer as though it will require an interest payment exactly equal to what the taxpayer could earn in a risk-free investment.</w:t>
      </w:r>
      <w:r w:rsidRPr="009F549F">
        <w:rPr>
          <w:rFonts w:eastAsia="Century Schoolbook"/>
          <w:vertAlign w:val="superscript"/>
        </w:rPr>
        <w:footnoteReference w:id="143"/>
      </w:r>
      <w:r w:rsidRPr="009F549F">
        <w:rPr>
          <w:rFonts w:eastAsia="Century Schoolbook"/>
        </w:rPr>
        <w:t xml:space="preserve"> </w:t>
      </w:r>
      <w:r w:rsidR="007744DA">
        <w:rPr>
          <w:rFonts w:ascii="Century Schoolbook" w:eastAsia="Century Schoolbook" w:hAnsi="Century Schoolbook" w:cs="Century Schoolbook"/>
        </w:rPr>
        <w:t xml:space="preserve"> </w:t>
      </w:r>
      <w:r w:rsidRPr="009F549F">
        <w:rPr>
          <w:rFonts w:eastAsia="Century Schoolbook"/>
        </w:rPr>
        <w:t xml:space="preserve">Taxpayers with risky investments </w:t>
      </w:r>
      <w:r w:rsidRPr="00036097">
        <w:rPr>
          <w:rFonts w:eastAsia="Century Schoolbook"/>
        </w:rPr>
        <w:t>do</w:t>
      </w:r>
      <w:r w:rsidR="002369B5" w:rsidRPr="00036097">
        <w:rPr>
          <w:rFonts w:eastAsia="Century Schoolbook"/>
        </w:rPr>
        <w:t xml:space="preserve"> no</w:t>
      </w:r>
      <w:r w:rsidRPr="00036097">
        <w:rPr>
          <w:rFonts w:eastAsia="Century Schoolbook"/>
        </w:rPr>
        <w:t>t</w:t>
      </w:r>
      <w:r w:rsidRPr="009F549F">
        <w:rPr>
          <w:rFonts w:eastAsia="Century Schoolbook"/>
        </w:rPr>
        <w:t xml:space="preserve"> care about delaying tax because</w:t>
      </w:r>
      <w:r w:rsidR="00A01B74" w:rsidRPr="00036097">
        <w:rPr>
          <w:rFonts w:eastAsia="Century Schoolbook"/>
        </w:rPr>
        <w:t>,</w:t>
      </w:r>
      <w:r w:rsidRPr="009F549F">
        <w:rPr>
          <w:rFonts w:eastAsia="Century Schoolbook"/>
        </w:rPr>
        <w:t xml:space="preserve"> by assumption</w:t>
      </w:r>
      <w:r w:rsidR="00A01B74" w:rsidRPr="00036097">
        <w:rPr>
          <w:rFonts w:eastAsia="Century Schoolbook"/>
        </w:rPr>
        <w:t>,</w:t>
      </w:r>
      <w:r w:rsidRPr="009F549F">
        <w:rPr>
          <w:rFonts w:eastAsia="Century Schoolbook"/>
        </w:rPr>
        <w:t xml:space="preserve"> the income tax does not impose any net cost on such investments.</w:t>
      </w:r>
      <w:r w:rsidRPr="009F549F">
        <w:rPr>
          <w:rFonts w:eastAsia="Century Schoolbook"/>
          <w:vertAlign w:val="superscript"/>
        </w:rPr>
        <w:footnoteReference w:id="144"/>
      </w:r>
      <w:r w:rsidRPr="009F549F">
        <w:rPr>
          <w:rFonts w:eastAsia="Century Schoolbook"/>
        </w:rPr>
        <w:t xml:space="preserve"> </w:t>
      </w:r>
      <w:r w:rsidR="007744DA">
        <w:rPr>
          <w:rFonts w:ascii="Century Schoolbook" w:eastAsia="Century Schoolbook" w:hAnsi="Century Schoolbook" w:cs="Century Schoolbook"/>
        </w:rPr>
        <w:t xml:space="preserve"> </w:t>
      </w:r>
      <w:r w:rsidRPr="009F549F">
        <w:rPr>
          <w:rFonts w:eastAsia="Century Schoolbook"/>
        </w:rPr>
        <w:t xml:space="preserve">So the risk-free rate is sufficient to keep investors indifferent between selling and holding their assets. </w:t>
      </w:r>
    </w:p>
    <w:p w14:paraId="7451B863" w14:textId="71F7599D" w:rsidR="007B1344" w:rsidRPr="009F549F" w:rsidRDefault="002347BA">
      <w:pPr>
        <w:spacing w:before="240" w:after="240"/>
        <w:ind w:firstLine="720"/>
        <w:jc w:val="both"/>
        <w:rPr>
          <w:rFonts w:eastAsia="Century Schoolbook"/>
        </w:rPr>
      </w:pPr>
      <w:bookmarkStart w:id="91" w:name="_ihv636" w:colFirst="0" w:colLast="0"/>
      <w:bookmarkEnd w:id="91"/>
      <w:r w:rsidRPr="009F549F">
        <w:rPr>
          <w:rFonts w:eastAsia="Century Schoolbook"/>
        </w:rPr>
        <w:t>In fact, though, taxpayers with risky bets care a great deal about avoiding tax on those wagers</w:t>
      </w:r>
      <w:r w:rsidR="00AA1692">
        <w:rPr>
          <w:rFonts w:ascii="Century Schoolbook" w:eastAsia="Century Schoolbook" w:hAnsi="Century Schoolbook" w:cs="Century Schoolbook"/>
        </w:rPr>
        <w:t xml:space="preserve">. </w:t>
      </w:r>
      <w:r w:rsidRPr="009F549F">
        <w:rPr>
          <w:rFonts w:eastAsia="Century Schoolbook"/>
        </w:rPr>
        <w:t xml:space="preserve">Briefly, in an ideal system, taxes </w:t>
      </w:r>
      <w:r w:rsidRPr="00036097">
        <w:rPr>
          <w:rFonts w:eastAsia="Century Schoolbook"/>
        </w:rPr>
        <w:t>do</w:t>
      </w:r>
      <w:r w:rsidR="00A01B74" w:rsidRPr="00036097">
        <w:rPr>
          <w:rFonts w:eastAsia="Century Schoolbook"/>
        </w:rPr>
        <w:t xml:space="preserve"> </w:t>
      </w:r>
      <w:r w:rsidRPr="00036097">
        <w:rPr>
          <w:rFonts w:eastAsia="Century Schoolbook"/>
        </w:rPr>
        <w:t>n</w:t>
      </w:r>
      <w:r w:rsidR="00A01B74" w:rsidRPr="00036097">
        <w:rPr>
          <w:rFonts w:eastAsia="Century Schoolbook"/>
        </w:rPr>
        <w:t>o</w:t>
      </w:r>
      <w:r w:rsidRPr="00036097">
        <w:rPr>
          <w:rFonts w:eastAsia="Century Schoolbook"/>
        </w:rPr>
        <w:t>t</w:t>
      </w:r>
      <w:r w:rsidRPr="009F549F">
        <w:rPr>
          <w:rFonts w:eastAsia="Century Schoolbook"/>
        </w:rPr>
        <w:t xml:space="preserve"> affect risk because a taxpayer can always scale up their bets: if there is a 50</w:t>
      </w:r>
      <w:r w:rsidR="00DB72E3" w:rsidRPr="00036097">
        <w:rPr>
          <w:rFonts w:eastAsia="Century Schoolbook"/>
        </w:rPr>
        <w:t xml:space="preserve"> percent</w:t>
      </w:r>
      <w:r w:rsidRPr="009F549F">
        <w:rPr>
          <w:rFonts w:eastAsia="Century Schoolbook"/>
        </w:rPr>
        <w:t xml:space="preserve"> tax, the taxpayer bets twice as much.</w:t>
      </w:r>
      <w:r w:rsidRPr="009F549F">
        <w:rPr>
          <w:rFonts w:eastAsia="Century Schoolbook"/>
          <w:vertAlign w:val="superscript"/>
        </w:rPr>
        <w:footnoteReference w:id="145"/>
      </w:r>
      <w:r w:rsidRPr="009F549F">
        <w:rPr>
          <w:rFonts w:eastAsia="Century Schoolbook"/>
        </w:rPr>
        <w:t xml:space="preserve"> </w:t>
      </w:r>
      <w:r w:rsidR="007744DA">
        <w:rPr>
          <w:rFonts w:ascii="Century Schoolbook" w:eastAsia="Century Schoolbook" w:hAnsi="Century Schoolbook" w:cs="Century Schoolbook"/>
        </w:rPr>
        <w:t xml:space="preserve"> </w:t>
      </w:r>
      <w:r w:rsidRPr="009F549F">
        <w:rPr>
          <w:rFonts w:eastAsia="Century Schoolbook"/>
        </w:rPr>
        <w:t>Transaction costs and tax rules spoil this strategy, however.</w:t>
      </w:r>
      <w:r w:rsidRPr="009F549F">
        <w:rPr>
          <w:rFonts w:eastAsia="Century Schoolbook"/>
          <w:vertAlign w:val="superscript"/>
        </w:rPr>
        <w:footnoteReference w:id="146"/>
      </w:r>
      <w:r w:rsidRPr="009F549F">
        <w:rPr>
          <w:rFonts w:eastAsia="Century Schoolbook"/>
        </w:rPr>
        <w:t xml:space="preserve"> </w:t>
      </w:r>
      <w:r w:rsidR="007744DA">
        <w:rPr>
          <w:rFonts w:ascii="Century Schoolbook" w:eastAsia="Century Schoolbook" w:hAnsi="Century Schoolbook" w:cs="Century Schoolbook"/>
        </w:rPr>
        <w:t xml:space="preserve"> </w:t>
      </w:r>
      <w:r w:rsidRPr="009F549F">
        <w:rPr>
          <w:rFonts w:eastAsia="Century Schoolbook"/>
        </w:rPr>
        <w:t>It is costly to raise money for risky bets</w:t>
      </w:r>
      <w:r w:rsidR="00DB72E3" w:rsidRPr="00036097">
        <w:rPr>
          <w:rFonts w:eastAsia="Century Schoolbook"/>
        </w:rPr>
        <w:t>—</w:t>
      </w:r>
      <w:r w:rsidRPr="009F549F">
        <w:rPr>
          <w:rFonts w:eastAsia="Century Schoolbook"/>
        </w:rPr>
        <w:t xml:space="preserve">among other reasons, because funders may not trust the risk-taking entrepreneur to protect the funders’ </w:t>
      </w:r>
      <w:r w:rsidRPr="009F549F">
        <w:rPr>
          <w:rFonts w:eastAsia="Century Schoolbook"/>
        </w:rPr>
        <w:lastRenderedPageBreak/>
        <w:t>interests.</w:t>
      </w:r>
      <w:r w:rsidRPr="009F549F">
        <w:rPr>
          <w:rFonts w:eastAsia="Century Schoolbook"/>
          <w:vertAlign w:val="superscript"/>
        </w:rPr>
        <w:footnoteReference w:id="147"/>
      </w:r>
      <w:r w:rsidRPr="009F549F">
        <w:rPr>
          <w:rFonts w:eastAsia="Century Schoolbook"/>
        </w:rPr>
        <w:t xml:space="preserve"> </w:t>
      </w:r>
      <w:r w:rsidR="007744DA">
        <w:rPr>
          <w:rFonts w:ascii="Century Schoolbook" w:eastAsia="Century Schoolbook" w:hAnsi="Century Schoolbook" w:cs="Century Schoolbook"/>
        </w:rPr>
        <w:t xml:space="preserve"> </w:t>
      </w:r>
      <w:r w:rsidRPr="009F549F">
        <w:rPr>
          <w:rFonts w:eastAsia="Century Schoolbook"/>
        </w:rPr>
        <w:t>And doubling one’s bet is a bad plan if it turns out that losses are not fully deductible, as they are not in most income tax systems.</w:t>
      </w:r>
      <w:bookmarkStart w:id="92" w:name="_Ref115729323"/>
      <w:r w:rsidRPr="009F549F">
        <w:rPr>
          <w:rFonts w:eastAsia="Century Schoolbook"/>
          <w:vertAlign w:val="superscript"/>
        </w:rPr>
        <w:footnoteReference w:id="148"/>
      </w:r>
      <w:bookmarkEnd w:id="92"/>
      <w:r w:rsidRPr="009F549F">
        <w:rPr>
          <w:rFonts w:eastAsia="Century Schoolbook"/>
        </w:rPr>
        <w:t xml:space="preserve"> </w:t>
      </w:r>
      <w:r w:rsidR="007744DA">
        <w:rPr>
          <w:rFonts w:ascii="Century Schoolbook" w:eastAsia="Century Schoolbook" w:hAnsi="Century Schoolbook" w:cs="Century Schoolbook"/>
        </w:rPr>
        <w:t xml:space="preserve"> </w:t>
      </w:r>
      <w:r w:rsidRPr="009F549F">
        <w:rPr>
          <w:rFonts w:eastAsia="Century Schoolbook"/>
        </w:rPr>
        <w:t>Thus, even the Auerbach and Bradford method fails to achieve neutrality, as in actuality the income tax indeed burdens risky returns.</w:t>
      </w:r>
      <w:r w:rsidRPr="009F549F">
        <w:rPr>
          <w:rFonts w:eastAsia="Century Schoolbook"/>
          <w:vertAlign w:val="superscript"/>
        </w:rPr>
        <w:footnoteReference w:id="149"/>
      </w:r>
      <w:r w:rsidRPr="009F549F">
        <w:rPr>
          <w:rFonts w:eastAsia="Century Schoolbook"/>
        </w:rPr>
        <w:t xml:space="preserve">  </w:t>
      </w:r>
    </w:p>
    <w:p w14:paraId="7E1BABB1" w14:textId="48518AA5" w:rsidR="007B1344" w:rsidRPr="009F549F" w:rsidRDefault="002347BA">
      <w:pPr>
        <w:spacing w:before="240" w:after="240"/>
        <w:ind w:firstLine="720"/>
        <w:jc w:val="both"/>
        <w:rPr>
          <w:rFonts w:eastAsia="Century Schoolbook"/>
        </w:rPr>
      </w:pPr>
      <w:bookmarkStart w:id="93" w:name="_32hioqz" w:colFirst="0" w:colLast="0"/>
      <w:bookmarkEnd w:id="93"/>
      <w:r w:rsidRPr="009F549F">
        <w:rPr>
          <w:rFonts w:eastAsia="Century Schoolbook"/>
        </w:rPr>
        <w:t xml:space="preserve">Professor </w:t>
      </w:r>
      <w:proofErr w:type="spellStart"/>
      <w:r w:rsidRPr="009F549F">
        <w:rPr>
          <w:rFonts w:eastAsia="Century Schoolbook"/>
        </w:rPr>
        <w:t>Glogower</w:t>
      </w:r>
      <w:proofErr w:type="spellEnd"/>
      <w:r w:rsidRPr="009F549F">
        <w:rPr>
          <w:rFonts w:eastAsia="Century Schoolbook"/>
        </w:rPr>
        <w:t xml:space="preserve"> nonetheless proposes a retrospective system in which the interest charge is relatively low, close to the risk-free rate.</w:t>
      </w:r>
      <w:r w:rsidRPr="009F549F">
        <w:rPr>
          <w:rFonts w:eastAsia="Century Schoolbook"/>
          <w:vertAlign w:val="superscript"/>
        </w:rPr>
        <w:footnoteReference w:id="150"/>
      </w:r>
      <w:r w:rsidRPr="009F549F">
        <w:rPr>
          <w:rFonts w:eastAsia="Century Schoolbook"/>
        </w:rPr>
        <w:t xml:space="preserve"> In a perfectly competitive market, investors only earn large returns through risk</w:t>
      </w:r>
      <w:r w:rsidR="00B461CD">
        <w:rPr>
          <w:rFonts w:eastAsia="Century Schoolbook"/>
        </w:rPr>
        <w:t>-</w:t>
      </w:r>
      <w:r w:rsidRPr="009F549F">
        <w:rPr>
          <w:rFonts w:eastAsia="Century Schoolbook"/>
        </w:rPr>
        <w:t>taking.</w:t>
      </w:r>
      <w:r w:rsidRPr="009F549F">
        <w:rPr>
          <w:rFonts w:eastAsia="Century Schoolbook"/>
          <w:vertAlign w:val="superscript"/>
        </w:rPr>
        <w:footnoteReference w:id="151"/>
      </w:r>
      <w:r w:rsidRPr="009F549F">
        <w:rPr>
          <w:rFonts w:eastAsia="Century Schoolbook"/>
        </w:rPr>
        <w:t xml:space="preserve"> Our economy, though, features many investors who earn “rents,” or profits in excess of competitive returns, often through monopolizing techniques such as patents or vast networks of users</w:t>
      </w:r>
      <w:r w:rsidR="00AA1692">
        <w:rPr>
          <w:rFonts w:ascii="Century Schoolbook" w:eastAsia="Century Schoolbook" w:hAnsi="Century Schoolbook" w:cs="Century Schoolbook"/>
        </w:rPr>
        <w:t xml:space="preserve">. </w:t>
      </w:r>
      <w:r w:rsidRPr="009F549F">
        <w:rPr>
          <w:rFonts w:eastAsia="Century Schoolbook"/>
        </w:rPr>
        <w:t>A low interest charge will likely leave these investors with strong incentives to hold their existing asset</w:t>
      </w:r>
      <w:r w:rsidR="00AA1692">
        <w:rPr>
          <w:rFonts w:ascii="Century Schoolbook" w:eastAsia="Century Schoolbook" w:hAnsi="Century Schoolbook" w:cs="Century Schoolbook"/>
        </w:rPr>
        <w:t xml:space="preserve">. </w:t>
      </w:r>
      <w:r w:rsidRPr="009F549F">
        <w:rPr>
          <w:rFonts w:eastAsia="Century Schoolbook"/>
        </w:rPr>
        <w:t xml:space="preserve">Professor </w:t>
      </w:r>
      <w:proofErr w:type="spellStart"/>
      <w:r w:rsidRPr="009F549F">
        <w:rPr>
          <w:rFonts w:eastAsia="Century Schoolbook"/>
        </w:rPr>
        <w:t>Glogower</w:t>
      </w:r>
      <w:proofErr w:type="spellEnd"/>
      <w:r w:rsidRPr="009F549F">
        <w:rPr>
          <w:rFonts w:eastAsia="Century Schoolbook"/>
        </w:rPr>
        <w:t xml:space="preserve"> argues this approach is preferable to a higher rate because at elevated rates there would be a risk of overtaxing investors who can only earn the low, risk-free rate.</w:t>
      </w:r>
      <w:r w:rsidRPr="009F549F">
        <w:rPr>
          <w:rFonts w:eastAsia="Century Schoolbook"/>
          <w:vertAlign w:val="superscript"/>
        </w:rPr>
        <w:footnoteReference w:id="152"/>
      </w:r>
      <w:r w:rsidRPr="009F549F">
        <w:rPr>
          <w:rFonts w:eastAsia="Century Schoolbook"/>
        </w:rPr>
        <w:t xml:space="preserve"> </w:t>
      </w:r>
      <w:r w:rsidR="00305E54">
        <w:rPr>
          <w:rFonts w:ascii="Century Schoolbook" w:eastAsia="Century Schoolbook" w:hAnsi="Century Schoolbook" w:cs="Century Schoolbook"/>
        </w:rPr>
        <w:t xml:space="preserve"> </w:t>
      </w:r>
      <w:r w:rsidRPr="009F549F">
        <w:rPr>
          <w:rFonts w:eastAsia="Century Schoolbook"/>
        </w:rPr>
        <w:t xml:space="preserve">Retrospective methods that measure the rate of return on every individual asset could solve that problem, but, as </w:t>
      </w:r>
      <w:proofErr w:type="spellStart"/>
      <w:r w:rsidRPr="009F549F">
        <w:rPr>
          <w:rFonts w:eastAsia="Century Schoolbook"/>
        </w:rPr>
        <w:t>Glogower</w:t>
      </w:r>
      <w:proofErr w:type="spellEnd"/>
      <w:r w:rsidRPr="009F549F">
        <w:rPr>
          <w:rFonts w:eastAsia="Century Schoolbook"/>
        </w:rPr>
        <w:t xml:space="preserve"> notes, only at the cost of great complexity.</w:t>
      </w:r>
      <w:r w:rsidRPr="009F549F">
        <w:rPr>
          <w:rFonts w:eastAsia="Century Schoolbook"/>
          <w:vertAlign w:val="superscript"/>
        </w:rPr>
        <w:footnoteReference w:id="153"/>
      </w:r>
    </w:p>
    <w:p w14:paraId="06969DB7" w14:textId="7E223D67" w:rsidR="007B1344" w:rsidRPr="009F549F" w:rsidRDefault="002347BA">
      <w:pPr>
        <w:spacing w:before="240" w:after="240"/>
        <w:ind w:firstLine="720"/>
        <w:jc w:val="both"/>
        <w:rPr>
          <w:rFonts w:eastAsia="Century Schoolbook"/>
        </w:rPr>
      </w:pPr>
      <w:r w:rsidRPr="009F549F">
        <w:rPr>
          <w:rFonts w:eastAsia="Century Schoolbook"/>
        </w:rPr>
        <w:lastRenderedPageBreak/>
        <w:t xml:space="preserve">Perhaps </w:t>
      </w:r>
      <w:proofErr w:type="spellStart"/>
      <w:r w:rsidRPr="009F549F">
        <w:rPr>
          <w:rFonts w:eastAsia="Century Schoolbook"/>
        </w:rPr>
        <w:t>Glogower’s</w:t>
      </w:r>
      <w:proofErr w:type="spellEnd"/>
      <w:r w:rsidRPr="009F549F">
        <w:rPr>
          <w:rFonts w:eastAsia="Century Schoolbook"/>
        </w:rPr>
        <w:t xml:space="preserve"> is the most politically viable approach, but economically </w:t>
      </w:r>
      <w:r w:rsidRPr="00036097">
        <w:rPr>
          <w:rFonts w:eastAsia="Century Schoolbook"/>
        </w:rPr>
        <w:t>it</w:t>
      </w:r>
      <w:r w:rsidR="004A107C" w:rsidRPr="00036097">
        <w:rPr>
          <w:rFonts w:eastAsia="Century Schoolbook"/>
        </w:rPr>
        <w:t xml:space="preserve"> i</w:t>
      </w:r>
      <w:r w:rsidRPr="00036097">
        <w:rPr>
          <w:rFonts w:eastAsia="Century Schoolbook"/>
        </w:rPr>
        <w:t>s</w:t>
      </w:r>
      <w:r w:rsidRPr="009F549F">
        <w:rPr>
          <w:rFonts w:eastAsia="Century Schoolbook"/>
        </w:rPr>
        <w:t xml:space="preserve"> often defensible to impose a rate higher than the risk-free one</w:t>
      </w:r>
      <w:r w:rsidR="00AA1692">
        <w:rPr>
          <w:rFonts w:ascii="Century Schoolbook" w:eastAsia="Century Schoolbook" w:hAnsi="Century Schoolbook" w:cs="Century Schoolbook"/>
        </w:rPr>
        <w:t xml:space="preserve">. </w:t>
      </w:r>
      <w:r w:rsidRPr="009F549F">
        <w:rPr>
          <w:rFonts w:eastAsia="Century Schoolbook"/>
        </w:rPr>
        <w:t xml:space="preserve">For the most part, the cost of any errors in setting the correct interest rate are </w:t>
      </w:r>
      <w:r w:rsidR="00AB3742">
        <w:rPr>
          <w:rFonts w:ascii="Century Schoolbook" w:eastAsia="Century Schoolbook" w:hAnsi="Century Schoolbook" w:cs="Century Schoolbook"/>
        </w:rPr>
        <w:t xml:space="preserve">likely to be </w:t>
      </w:r>
      <w:r w:rsidRPr="009F549F">
        <w:rPr>
          <w:rFonts w:eastAsia="Century Schoolbook"/>
        </w:rPr>
        <w:t xml:space="preserve">symmetrical, which is to say </w:t>
      </w:r>
      <w:r w:rsidR="00534786">
        <w:rPr>
          <w:rFonts w:ascii="Century Schoolbook" w:eastAsia="Century Schoolbook" w:hAnsi="Century Schoolbook" w:cs="Century Schoolbook"/>
        </w:rPr>
        <w:t>it's</w:t>
      </w:r>
      <w:r w:rsidRPr="009F549F">
        <w:rPr>
          <w:rFonts w:eastAsia="Century Schoolbook"/>
        </w:rPr>
        <w:t xml:space="preserve"> just as bad to set rates too low as too high.</w:t>
      </w:r>
      <w:r w:rsidRPr="009F549F">
        <w:rPr>
          <w:rFonts w:eastAsia="Century Schoolbook"/>
          <w:vertAlign w:val="superscript"/>
        </w:rPr>
        <w:footnoteReference w:id="154"/>
      </w:r>
      <w:r w:rsidRPr="009F549F">
        <w:rPr>
          <w:rFonts w:eastAsia="Century Schoolbook"/>
        </w:rPr>
        <w:t xml:space="preserve"> </w:t>
      </w:r>
      <w:r w:rsidR="00AB3742">
        <w:rPr>
          <w:rFonts w:ascii="Century Schoolbook" w:eastAsia="Century Schoolbook" w:hAnsi="Century Schoolbook" w:cs="Century Schoolbook"/>
        </w:rPr>
        <w:t xml:space="preserve"> </w:t>
      </w:r>
      <w:r w:rsidRPr="009F549F">
        <w:rPr>
          <w:rFonts w:eastAsia="Century Schoolbook"/>
        </w:rPr>
        <w:t xml:space="preserve">If the interest charge is too low, taxpayers will hold assets longer than they should; if </w:t>
      </w:r>
      <w:r w:rsidR="00534786">
        <w:rPr>
          <w:rFonts w:ascii="Century Schoolbook" w:eastAsia="Century Schoolbook" w:hAnsi="Century Schoolbook" w:cs="Century Schoolbook"/>
        </w:rPr>
        <w:t>it's</w:t>
      </w:r>
      <w:r w:rsidRPr="009F549F">
        <w:rPr>
          <w:rFonts w:eastAsia="Century Schoolbook"/>
        </w:rPr>
        <w:t xml:space="preserve"> too high, they will sell them faster than they should</w:t>
      </w:r>
      <w:r w:rsidR="00AA1692">
        <w:rPr>
          <w:rFonts w:ascii="Century Schoolbook" w:eastAsia="Century Schoolbook" w:hAnsi="Century Schoolbook" w:cs="Century Schoolbook"/>
        </w:rPr>
        <w:t xml:space="preserve">. </w:t>
      </w:r>
      <w:r w:rsidRPr="009F549F">
        <w:rPr>
          <w:rFonts w:eastAsia="Century Schoolbook"/>
        </w:rPr>
        <w:t xml:space="preserve">Both can result in misallocation of capital, and it </w:t>
      </w:r>
      <w:r w:rsidRPr="00036097">
        <w:rPr>
          <w:rFonts w:eastAsia="Century Schoolbook"/>
        </w:rPr>
        <w:t>is</w:t>
      </w:r>
      <w:r w:rsidR="00B13B88" w:rsidRPr="00036097">
        <w:rPr>
          <w:rFonts w:eastAsia="Century Schoolbook"/>
        </w:rPr>
        <w:t xml:space="preserve"> </w:t>
      </w:r>
      <w:r w:rsidRPr="00036097">
        <w:rPr>
          <w:rFonts w:eastAsia="Century Schoolbook"/>
        </w:rPr>
        <w:t>n</w:t>
      </w:r>
      <w:r w:rsidR="00B13B88" w:rsidRPr="00036097">
        <w:rPr>
          <w:rFonts w:eastAsia="Century Schoolbook"/>
        </w:rPr>
        <w:t>o</w:t>
      </w:r>
      <w:r w:rsidRPr="00036097">
        <w:rPr>
          <w:rFonts w:eastAsia="Century Schoolbook"/>
        </w:rPr>
        <w:t>t</w:t>
      </w:r>
      <w:r w:rsidRPr="009F549F">
        <w:rPr>
          <w:rFonts w:eastAsia="Century Schoolbook"/>
        </w:rPr>
        <w:t xml:space="preserve"> obvious that selling too soon is any more damaging to the economy than selling too late.</w:t>
      </w:r>
      <w:r w:rsidRPr="009F549F">
        <w:rPr>
          <w:rFonts w:eastAsia="Century Schoolbook"/>
          <w:vertAlign w:val="superscript"/>
        </w:rPr>
        <w:footnoteReference w:id="155"/>
      </w:r>
      <w:r w:rsidRPr="009F549F">
        <w:rPr>
          <w:rFonts w:eastAsia="Century Schoolbook"/>
        </w:rPr>
        <w:t xml:space="preserve"> </w:t>
      </w:r>
    </w:p>
    <w:p w14:paraId="5B2D250F" w14:textId="31C59F10" w:rsidR="007B1344" w:rsidRPr="009F549F" w:rsidRDefault="002347BA">
      <w:pPr>
        <w:spacing w:before="240" w:after="240"/>
        <w:ind w:firstLine="720"/>
        <w:jc w:val="both"/>
        <w:rPr>
          <w:rFonts w:eastAsia="Century Schoolbook"/>
        </w:rPr>
      </w:pPr>
      <w:r w:rsidRPr="00036097">
        <w:rPr>
          <w:rFonts w:eastAsia="Century Schoolbook"/>
        </w:rPr>
        <w:t>It</w:t>
      </w:r>
      <w:r w:rsidR="00CD7F50" w:rsidRPr="00036097">
        <w:rPr>
          <w:rFonts w:eastAsia="Century Schoolbook"/>
        </w:rPr>
        <w:t xml:space="preserve"> i</w:t>
      </w:r>
      <w:r w:rsidRPr="00036097">
        <w:rPr>
          <w:rFonts w:eastAsia="Century Schoolbook"/>
        </w:rPr>
        <w:t>s</w:t>
      </w:r>
      <w:r w:rsidRPr="009F549F">
        <w:rPr>
          <w:rFonts w:eastAsia="Century Schoolbook"/>
        </w:rPr>
        <w:t xml:space="preserve"> usually preferable instead to minimize the magnitude of the government’s errors</w:t>
      </w:r>
      <w:r w:rsidR="00AA1692">
        <w:rPr>
          <w:rFonts w:ascii="Century Schoolbook" w:eastAsia="Century Schoolbook" w:hAnsi="Century Schoolbook" w:cs="Century Schoolbook"/>
        </w:rPr>
        <w:t xml:space="preserve">. </w:t>
      </w:r>
      <w:r w:rsidRPr="009F549F">
        <w:rPr>
          <w:rFonts w:eastAsia="Century Schoolbook"/>
        </w:rPr>
        <w:t xml:space="preserve">Because the economic damage from mispricing rises exponentially with the size of the distortion, </w:t>
      </w:r>
      <w:r w:rsidR="00534786">
        <w:rPr>
          <w:rFonts w:ascii="Century Schoolbook" w:eastAsia="Century Schoolbook" w:hAnsi="Century Schoolbook" w:cs="Century Schoolbook"/>
        </w:rPr>
        <w:t>it's</w:t>
      </w:r>
      <w:r w:rsidRPr="009F549F">
        <w:rPr>
          <w:rFonts w:eastAsia="Century Schoolbook"/>
        </w:rPr>
        <w:t xml:space="preserve"> typically better to have several small mistakes than one big one, even if the small errors total up to more than the big error in aggregate.</w:t>
      </w:r>
      <w:r w:rsidRPr="009F549F">
        <w:rPr>
          <w:rFonts w:eastAsia="Century Schoolbook"/>
          <w:vertAlign w:val="superscript"/>
        </w:rPr>
        <w:footnoteReference w:id="156"/>
      </w:r>
      <w:r w:rsidRPr="009F549F">
        <w:rPr>
          <w:rFonts w:eastAsia="Century Schoolbook"/>
        </w:rPr>
        <w:t xml:space="preserve"> </w:t>
      </w:r>
      <w:r w:rsidR="00AB3742">
        <w:rPr>
          <w:rFonts w:ascii="Century Schoolbook" w:eastAsia="Century Schoolbook" w:hAnsi="Century Schoolbook" w:cs="Century Schoolbook"/>
        </w:rPr>
        <w:t xml:space="preserve"> </w:t>
      </w:r>
      <w:r w:rsidRPr="009F549F">
        <w:rPr>
          <w:rFonts w:eastAsia="Century Schoolbook"/>
        </w:rPr>
        <w:t xml:space="preserve">To implement that principle, the government </w:t>
      </w:r>
      <w:r w:rsidR="00AB3742">
        <w:rPr>
          <w:rFonts w:ascii="Century Schoolbook" w:eastAsia="Century Schoolbook" w:hAnsi="Century Schoolbook" w:cs="Century Schoolbook"/>
        </w:rPr>
        <w:t xml:space="preserve">should </w:t>
      </w:r>
      <w:r w:rsidRPr="009F549F">
        <w:rPr>
          <w:rFonts w:eastAsia="Century Schoolbook"/>
        </w:rPr>
        <w:t xml:space="preserve">probably </w:t>
      </w:r>
      <w:r w:rsidR="00AB3742">
        <w:rPr>
          <w:rFonts w:ascii="Century Schoolbook" w:eastAsia="Century Schoolbook" w:hAnsi="Century Schoolbook" w:cs="Century Schoolbook"/>
        </w:rPr>
        <w:t xml:space="preserve">aim </w:t>
      </w:r>
      <w:r w:rsidRPr="009F549F">
        <w:rPr>
          <w:rFonts w:eastAsia="Century Schoolbook"/>
        </w:rPr>
        <w:t xml:space="preserve">to choose a value near the middle of the distribution of </w:t>
      </w:r>
      <w:r w:rsidRPr="00036097">
        <w:rPr>
          <w:rFonts w:eastAsia="Century Schoolbook"/>
        </w:rPr>
        <w:t>investors</w:t>
      </w:r>
      <w:r w:rsidR="00B461CD">
        <w:rPr>
          <w:rFonts w:eastAsia="Century Schoolbook"/>
        </w:rPr>
        <w:t>’</w:t>
      </w:r>
      <w:r w:rsidRPr="009F549F">
        <w:rPr>
          <w:rFonts w:eastAsia="Century Schoolbook"/>
        </w:rPr>
        <w:t xml:space="preserve"> rates of return, rather than selecting one at the extreme lower end.</w:t>
      </w:r>
      <w:r w:rsidRPr="009F549F">
        <w:rPr>
          <w:rFonts w:eastAsia="Century Schoolbook"/>
          <w:vertAlign w:val="superscript"/>
        </w:rPr>
        <w:footnoteReference w:id="157"/>
      </w:r>
      <w:r w:rsidRPr="009F549F">
        <w:rPr>
          <w:rFonts w:eastAsia="Century Schoolbook"/>
        </w:rPr>
        <w:t xml:space="preserve"> </w:t>
      </w:r>
      <w:r w:rsidR="00AB3742">
        <w:rPr>
          <w:rFonts w:ascii="Century Schoolbook" w:eastAsia="Century Schoolbook" w:hAnsi="Century Schoolbook" w:cs="Century Schoolbook"/>
        </w:rPr>
        <w:t xml:space="preserve"> </w:t>
      </w:r>
      <w:r w:rsidRPr="009F549F">
        <w:rPr>
          <w:rFonts w:eastAsia="Century Schoolbook"/>
        </w:rPr>
        <w:t xml:space="preserve">Admittedly, </w:t>
      </w:r>
      <w:r w:rsidRPr="009F549F">
        <w:rPr>
          <w:rFonts w:eastAsia="Century Schoolbook"/>
        </w:rPr>
        <w:lastRenderedPageBreak/>
        <w:t>overtaxing may be a greater concern for individuals with relatively little wealth, for whom there is steeply diminishing marginal utility</w:t>
      </w:r>
      <w:r w:rsidR="00AA1692">
        <w:rPr>
          <w:rFonts w:ascii="Century Schoolbook" w:eastAsia="Century Schoolbook" w:hAnsi="Century Schoolbook" w:cs="Century Schoolbook"/>
        </w:rPr>
        <w:t xml:space="preserve">. </w:t>
      </w:r>
      <w:r w:rsidRPr="009F549F">
        <w:rPr>
          <w:rFonts w:eastAsia="Century Schoolbook"/>
        </w:rPr>
        <w:t xml:space="preserve">But there are few, if any, large investors with hard-to-value assets in that population. </w:t>
      </w:r>
    </w:p>
    <w:p w14:paraId="6DF39766" w14:textId="01741836" w:rsidR="007B1344" w:rsidRPr="009F549F" w:rsidRDefault="002347BA">
      <w:pPr>
        <w:spacing w:before="240" w:after="240"/>
        <w:ind w:firstLine="720"/>
        <w:jc w:val="both"/>
        <w:rPr>
          <w:rFonts w:eastAsia="Century Schoolbook"/>
        </w:rPr>
      </w:pPr>
      <w:r w:rsidRPr="009F549F">
        <w:rPr>
          <w:rFonts w:eastAsia="Century Schoolbook"/>
        </w:rPr>
        <w:t xml:space="preserve">In any event, whatever the optimal interest rate to charge, </w:t>
      </w:r>
      <w:r w:rsidRPr="00036097">
        <w:rPr>
          <w:rFonts w:eastAsia="Century Schoolbook"/>
        </w:rPr>
        <w:t>it</w:t>
      </w:r>
      <w:r w:rsidR="00F76896" w:rsidRPr="00036097">
        <w:rPr>
          <w:rFonts w:eastAsia="Century Schoolbook"/>
        </w:rPr>
        <w:t xml:space="preserve"> i</w:t>
      </w:r>
      <w:r w:rsidRPr="00036097">
        <w:rPr>
          <w:rFonts w:eastAsia="Century Schoolbook"/>
        </w:rPr>
        <w:t>s</w:t>
      </w:r>
      <w:r w:rsidRPr="009F549F">
        <w:rPr>
          <w:rFonts w:eastAsia="Century Schoolbook"/>
        </w:rPr>
        <w:t xml:space="preserve"> evident that these methods all involve tradeoffs</w:t>
      </w:r>
      <w:r w:rsidR="00AA1692">
        <w:rPr>
          <w:rFonts w:ascii="Century Schoolbook" w:eastAsia="Century Schoolbook" w:hAnsi="Century Schoolbook" w:cs="Century Schoolbook"/>
        </w:rPr>
        <w:t xml:space="preserve">. </w:t>
      </w:r>
      <w:r w:rsidRPr="009F549F">
        <w:rPr>
          <w:rFonts w:eastAsia="Century Schoolbook"/>
        </w:rPr>
        <w:t>Setting one interest rate for all taxpayers will necessarily still leave many of them sensitive to the timing of when they sell</w:t>
      </w:r>
      <w:r w:rsidR="00AA1692">
        <w:rPr>
          <w:rFonts w:ascii="Century Schoolbook" w:eastAsia="Century Schoolbook" w:hAnsi="Century Schoolbook" w:cs="Century Schoolbook"/>
        </w:rPr>
        <w:t xml:space="preserve">. </w:t>
      </w:r>
      <w:r w:rsidRPr="009F549F">
        <w:rPr>
          <w:rFonts w:eastAsia="Century Schoolbook"/>
        </w:rPr>
        <w:t xml:space="preserve">And trying to measure the individual rate of return every taxpayer </w:t>
      </w:r>
      <w:proofErr w:type="gramStart"/>
      <w:r w:rsidRPr="009F549F">
        <w:rPr>
          <w:rFonts w:eastAsia="Century Schoolbook"/>
        </w:rPr>
        <w:t>faces</w:t>
      </w:r>
      <w:proofErr w:type="gramEnd"/>
      <w:r w:rsidRPr="009F549F">
        <w:rPr>
          <w:rFonts w:eastAsia="Century Schoolbook"/>
        </w:rPr>
        <w:t xml:space="preserve"> seems enormously complicated</w:t>
      </w:r>
      <w:r w:rsidR="00AA1692">
        <w:rPr>
          <w:rFonts w:ascii="Century Schoolbook" w:eastAsia="Century Schoolbook" w:hAnsi="Century Schoolbook" w:cs="Century Schoolbook"/>
        </w:rPr>
        <w:t xml:space="preserve">. </w:t>
      </w:r>
      <w:r w:rsidRPr="009F549F">
        <w:rPr>
          <w:rFonts w:eastAsia="Century Schoolbook"/>
        </w:rPr>
        <w:t xml:space="preserve">Either way, the existence of the delayed charge hanging over the taxpayer’s head will encourage them to find avenues for changing the law </w:t>
      </w:r>
      <w:r w:rsidRPr="00036097">
        <w:rPr>
          <w:rFonts w:eastAsia="Century Schoolbook"/>
        </w:rPr>
        <w:t>they</w:t>
      </w:r>
      <w:r w:rsidR="00216831" w:rsidRPr="00036097">
        <w:rPr>
          <w:rFonts w:eastAsia="Century Schoolbook"/>
        </w:rPr>
        <w:t xml:space="preserve"> a</w:t>
      </w:r>
      <w:r w:rsidRPr="00036097">
        <w:rPr>
          <w:rFonts w:eastAsia="Century Schoolbook"/>
        </w:rPr>
        <w:t>re</w:t>
      </w:r>
      <w:r w:rsidRPr="009F549F">
        <w:rPr>
          <w:rFonts w:eastAsia="Century Schoolbook"/>
        </w:rPr>
        <w:t xml:space="preserve"> subject to </w:t>
      </w:r>
      <w:r w:rsidR="00AB3742">
        <w:rPr>
          <w:rFonts w:ascii="Century Schoolbook" w:eastAsia="Century Schoolbook" w:hAnsi="Century Schoolbook" w:cs="Century Schoolbook"/>
        </w:rPr>
        <w:t xml:space="preserve">such as </w:t>
      </w:r>
      <w:r w:rsidR="002C3958">
        <w:rPr>
          <w:rFonts w:ascii="Century Schoolbook" w:eastAsia="Century Schoolbook" w:hAnsi="Century Schoolbook" w:cs="Century Schoolbook"/>
        </w:rPr>
        <w:t>by</w:t>
      </w:r>
      <w:r w:rsidRPr="009F549F">
        <w:rPr>
          <w:rFonts w:eastAsia="Century Schoolbook"/>
        </w:rPr>
        <w:t xml:space="preserve"> moving or lobbying. </w:t>
      </w:r>
    </w:p>
    <w:p w14:paraId="350413EC" w14:textId="77777777" w:rsidR="007B1344" w:rsidRPr="009F549F" w:rsidRDefault="002347BA">
      <w:pPr>
        <w:pStyle w:val="Heading2"/>
        <w:rPr>
          <w:rFonts w:ascii="Times New Roman" w:hAnsi="Times New Roman"/>
          <w:i/>
          <w:sz w:val="24"/>
        </w:rPr>
      </w:pPr>
      <w:bookmarkStart w:id="94" w:name="_Ref119431196"/>
      <w:bookmarkStart w:id="95" w:name="_Toc115088933"/>
      <w:bookmarkStart w:id="96" w:name="_Toc120019829"/>
      <w:r w:rsidRPr="009F549F">
        <w:rPr>
          <w:rFonts w:ascii="Times New Roman" w:hAnsi="Times New Roman"/>
          <w:i/>
          <w:sz w:val="24"/>
        </w:rPr>
        <w:t>D.  Government Equity: A New Land?</w:t>
      </w:r>
      <w:bookmarkEnd w:id="94"/>
      <w:bookmarkEnd w:id="95"/>
      <w:bookmarkEnd w:id="96"/>
    </w:p>
    <w:p w14:paraId="787D25EA" w14:textId="207A19C0" w:rsidR="007B1344" w:rsidRPr="009F549F" w:rsidRDefault="002347BA">
      <w:pPr>
        <w:spacing w:before="240" w:after="240"/>
        <w:ind w:firstLine="720"/>
        <w:jc w:val="both"/>
        <w:rPr>
          <w:rFonts w:eastAsia="Century Schoolbook"/>
        </w:rPr>
      </w:pPr>
      <w:r w:rsidRPr="009F549F">
        <w:rPr>
          <w:rFonts w:eastAsia="Century Schoolbook"/>
        </w:rPr>
        <w:t>A close cousin to these “interest-charge” approaches for retrospective taxation is practitioner Stephen Land’s proposal</w:t>
      </w:r>
      <w:r w:rsidR="001E68D8" w:rsidRPr="00036097">
        <w:rPr>
          <w:rFonts w:eastAsia="Century Schoolbook"/>
        </w:rPr>
        <w:t xml:space="preserve">, </w:t>
      </w:r>
      <w:r w:rsidRPr="009F549F">
        <w:rPr>
          <w:rFonts w:eastAsia="Century Schoolbook"/>
        </w:rPr>
        <w:t xml:space="preserve">building on an earlier insight by Mark </w:t>
      </w:r>
      <w:proofErr w:type="spellStart"/>
      <w:r w:rsidRPr="009F549F">
        <w:rPr>
          <w:rFonts w:eastAsia="Century Schoolbook"/>
        </w:rPr>
        <w:t>Gergen</w:t>
      </w:r>
      <w:proofErr w:type="spellEnd"/>
      <w:r w:rsidR="001E68D8" w:rsidRPr="00036097">
        <w:rPr>
          <w:rFonts w:eastAsia="Century Schoolbook"/>
        </w:rPr>
        <w:t>,</w:t>
      </w:r>
      <w:r w:rsidRPr="009F549F">
        <w:rPr>
          <w:rFonts w:eastAsia="Century Schoolbook"/>
        </w:rPr>
        <w:t xml:space="preserve"> for “yield-based” retrospective taxation.</w:t>
      </w:r>
      <w:r w:rsidRPr="009F549F">
        <w:rPr>
          <w:rFonts w:eastAsia="Century Schoolbook"/>
          <w:vertAlign w:val="superscript"/>
        </w:rPr>
        <w:footnoteReference w:id="158"/>
      </w:r>
      <w:r w:rsidRPr="009F549F">
        <w:rPr>
          <w:rFonts w:eastAsia="Century Schoolbook"/>
        </w:rPr>
        <w:t xml:space="preserve"> Instead of applying a uniform interest charge, Land’s method calculates how much an asset owner would save from </w:t>
      </w:r>
      <w:r w:rsidR="002A3945">
        <w:rPr>
          <w:rFonts w:ascii="Century Schoolbook" w:eastAsia="Century Schoolbook" w:hAnsi="Century Schoolbook" w:cs="Century Schoolbook"/>
        </w:rPr>
        <w:t xml:space="preserve">tax </w:t>
      </w:r>
      <w:r w:rsidRPr="009F549F">
        <w:rPr>
          <w:rFonts w:eastAsia="Century Schoolbook"/>
        </w:rPr>
        <w:t xml:space="preserve">deferral </w:t>
      </w:r>
      <w:r w:rsidR="002A3945">
        <w:rPr>
          <w:rFonts w:ascii="Century Schoolbook" w:eastAsia="Century Schoolbook" w:hAnsi="Century Schoolbook" w:cs="Century Schoolbook"/>
        </w:rPr>
        <w:t xml:space="preserve">for </w:t>
      </w:r>
      <w:r w:rsidRPr="009F549F">
        <w:rPr>
          <w:rFonts w:eastAsia="Century Schoolbook"/>
        </w:rPr>
        <w:t xml:space="preserve">any given asset, then upon sale charges the owner that exact savings amount. The goal, of course, is to leave the owner with no incentive to defer gains or accelerate losses. If one key assumption holds, it also </w:t>
      </w:r>
      <w:r w:rsidRPr="00036097">
        <w:rPr>
          <w:rFonts w:eastAsia="Century Schoolbook"/>
        </w:rPr>
        <w:t>does</w:t>
      </w:r>
      <w:r w:rsidR="00781B5D" w:rsidRPr="00036097">
        <w:rPr>
          <w:rFonts w:eastAsia="Century Schoolbook"/>
        </w:rPr>
        <w:t xml:space="preserve"> </w:t>
      </w:r>
      <w:r w:rsidRPr="00036097">
        <w:rPr>
          <w:rFonts w:eastAsia="Century Schoolbook"/>
        </w:rPr>
        <w:t>n</w:t>
      </w:r>
      <w:r w:rsidR="00781B5D" w:rsidRPr="00036097">
        <w:rPr>
          <w:rFonts w:eastAsia="Century Schoolbook"/>
        </w:rPr>
        <w:t>o</w:t>
      </w:r>
      <w:r w:rsidRPr="00036097">
        <w:rPr>
          <w:rFonts w:eastAsia="Century Schoolbook"/>
        </w:rPr>
        <w:t>t</w:t>
      </w:r>
      <w:r w:rsidRPr="009F549F">
        <w:rPr>
          <w:rFonts w:eastAsia="Century Schoolbook"/>
        </w:rPr>
        <w:t xml:space="preserve"> matter when the owner reaped their gains or losses.</w:t>
      </w:r>
      <w:r w:rsidRPr="009F549F">
        <w:rPr>
          <w:rFonts w:eastAsia="Century Schoolbook"/>
          <w:vertAlign w:val="superscript"/>
        </w:rPr>
        <w:footnoteReference w:id="159"/>
      </w:r>
      <w:r w:rsidRPr="009F549F">
        <w:rPr>
          <w:rFonts w:eastAsia="Century Schoolbook"/>
        </w:rPr>
        <w:t xml:space="preserve"> Land’s method thus can </w:t>
      </w:r>
      <w:r w:rsidRPr="009F549F">
        <w:rPr>
          <w:rFonts w:eastAsia="Century Schoolbook"/>
        </w:rPr>
        <w:lastRenderedPageBreak/>
        <w:t xml:space="preserve">eliminate distortions arising from assets that gain their value earlier or later than the government assumes under a simpler retrospective method. </w:t>
      </w:r>
    </w:p>
    <w:p w14:paraId="74247266" w14:textId="073A9F9D" w:rsidR="007B1344" w:rsidRPr="009F549F" w:rsidRDefault="002347BA">
      <w:pPr>
        <w:spacing w:before="240" w:after="240"/>
        <w:ind w:firstLine="720"/>
        <w:jc w:val="both"/>
        <w:rPr>
          <w:rFonts w:eastAsia="Century Schoolbook"/>
        </w:rPr>
      </w:pPr>
      <w:r w:rsidRPr="009F549F">
        <w:rPr>
          <w:rFonts w:eastAsia="Century Schoolbook"/>
        </w:rPr>
        <w:t>Land calls his approach the equivalent of an “equity investment by the government” because the government’s tax claim grows or shrinks as the investment does.</w:t>
      </w:r>
      <w:r w:rsidRPr="009F549F">
        <w:rPr>
          <w:rFonts w:eastAsia="Century Schoolbook"/>
          <w:vertAlign w:val="superscript"/>
        </w:rPr>
        <w:footnoteReference w:id="160"/>
      </w:r>
      <w:r w:rsidRPr="009F549F">
        <w:rPr>
          <w:rFonts w:eastAsia="Century Schoolbook"/>
        </w:rPr>
        <w:t xml:space="preserve"> That is, if one unpacks the math, Land’s formula is effectively a form of retrospective interest charge, but one in which rather than charging interest on deferred taxes, the government instead gets a slice of the taxpayer’s asset equal </w:t>
      </w:r>
      <w:r w:rsidR="00534786">
        <w:rPr>
          <w:rFonts w:eastAsia="Century Schoolbook"/>
        </w:rPr>
        <w:t xml:space="preserve">in value </w:t>
      </w:r>
      <w:r w:rsidRPr="009F549F">
        <w:rPr>
          <w:rFonts w:eastAsia="Century Schoolbook"/>
        </w:rPr>
        <w:t xml:space="preserve">to the amount of tax that would have been paid. This slice then gets bigger or smaller at the same rate as the asset.  </w:t>
      </w:r>
    </w:p>
    <w:p w14:paraId="302007D2" w14:textId="6CE5010B" w:rsidR="002B7D8E" w:rsidRDefault="002347BA" w:rsidP="009F549F">
      <w:pPr>
        <w:spacing w:before="240" w:after="240"/>
        <w:ind w:firstLine="720"/>
        <w:jc w:val="both"/>
        <w:rPr>
          <w:rFonts w:eastAsia="Century Schoolbook"/>
        </w:rPr>
      </w:pPr>
      <w:r w:rsidRPr="009F549F">
        <w:rPr>
          <w:rFonts w:eastAsia="Century Schoolbook"/>
        </w:rPr>
        <w:t>Although Land’s proposal in theory solves the problem of setting the interest charge that has plagued other proposals for retrospective taxation, actually implementing Land’s proposal would require addressing a number of troublesome issues related to contributions, partial withdrawals, and deemed withdrawals.</w:t>
      </w:r>
      <w:r w:rsidRPr="009F549F">
        <w:rPr>
          <w:rFonts w:eastAsia="Century Schoolbook"/>
          <w:vertAlign w:val="superscript"/>
        </w:rPr>
        <w:footnoteReference w:id="161"/>
      </w:r>
      <w:r w:rsidRPr="009F549F">
        <w:rPr>
          <w:rFonts w:eastAsia="Century Schoolbook"/>
        </w:rPr>
        <w:t xml:space="preserve"> These issues give rise to what Land calls the portfolio problem.</w:t>
      </w:r>
      <w:r w:rsidRPr="009F549F">
        <w:rPr>
          <w:rFonts w:eastAsia="Century Schoolbook"/>
          <w:vertAlign w:val="superscript"/>
        </w:rPr>
        <w:footnoteReference w:id="162"/>
      </w:r>
      <w:r w:rsidRPr="009F549F">
        <w:rPr>
          <w:rFonts w:eastAsia="Century Schoolbook"/>
        </w:rPr>
        <w:t xml:space="preserve"> Briefly, when the government holds an equity interest or its equivalent in multiple taxpayer assets, the total tax on the assets is often smaller when those assets are combined into a single asset (e.g., by merging a bond and share of stock into a hybrid instrument).</w:t>
      </w:r>
      <w:r w:rsidRPr="009F549F">
        <w:rPr>
          <w:rFonts w:eastAsia="Century Schoolbook"/>
          <w:vertAlign w:val="superscript"/>
        </w:rPr>
        <w:footnoteReference w:id="163"/>
      </w:r>
      <w:r w:rsidRPr="009F549F">
        <w:rPr>
          <w:rFonts w:eastAsia="Century Schoolbook"/>
        </w:rPr>
        <w:t xml:space="preserve"> </w:t>
      </w:r>
      <w:r w:rsidRPr="009F549F">
        <w:rPr>
          <w:rFonts w:eastAsia="Century Schoolbook"/>
        </w:rPr>
        <w:lastRenderedPageBreak/>
        <w:t>Land proposes an elaborate accounting system in response.</w:t>
      </w:r>
      <w:r w:rsidRPr="009F549F">
        <w:rPr>
          <w:rFonts w:eastAsia="Century Schoolbook"/>
          <w:vertAlign w:val="superscript"/>
        </w:rPr>
        <w:footnoteReference w:id="164"/>
      </w:r>
      <w:r w:rsidRPr="009F549F">
        <w:rPr>
          <w:rFonts w:eastAsia="Century Schoolbook"/>
        </w:rPr>
        <w:t xml:space="preserve"> But Land acknowledges that this does </w:t>
      </w:r>
      <w:r w:rsidR="00F570FE" w:rsidRPr="00036097">
        <w:rPr>
          <w:rFonts w:eastAsia="Century Schoolbook"/>
        </w:rPr>
        <w:t xml:space="preserve">not </w:t>
      </w:r>
      <w:r w:rsidRPr="009F549F">
        <w:rPr>
          <w:rFonts w:eastAsia="Century Schoolbook"/>
        </w:rPr>
        <w:t>fully solve all of the implementation issues,</w:t>
      </w:r>
      <w:r w:rsidRPr="009F549F">
        <w:rPr>
          <w:rFonts w:eastAsia="Century Schoolbook"/>
          <w:vertAlign w:val="superscript"/>
        </w:rPr>
        <w:footnoteReference w:id="165"/>
      </w:r>
      <w:r w:rsidRPr="009F549F">
        <w:rPr>
          <w:rFonts w:eastAsia="Century Schoolbook"/>
        </w:rPr>
        <w:t xml:space="preserve"> and other scholars have concluded that this proposal would result in “unworkable administrative complexity.”</w:t>
      </w:r>
      <w:r w:rsidRPr="009F549F">
        <w:rPr>
          <w:rFonts w:eastAsia="Century Schoolbook"/>
          <w:vertAlign w:val="superscript"/>
        </w:rPr>
        <w:footnoteReference w:id="166"/>
      </w:r>
      <w:r w:rsidR="002B7D8E">
        <w:rPr>
          <w:rFonts w:eastAsia="Century Schoolbook"/>
        </w:rPr>
        <w:t xml:space="preserve"> </w:t>
      </w:r>
      <w:commentRangeStart w:id="97"/>
      <w:commentRangeEnd w:id="97"/>
      <w:r w:rsidRPr="009F549F">
        <w:rPr>
          <w:rFonts w:eastAsia="Century Schoolbook"/>
        </w:rPr>
        <w:t xml:space="preserve">Land also acknowledges he has no clear solution for what to do if tax rates fluctuate over the time a taxpayer holds an asset. </w:t>
      </w:r>
      <w:commentRangeStart w:id="98"/>
      <w:commentRangeEnd w:id="98"/>
    </w:p>
    <w:p w14:paraId="4AE1606B" w14:textId="6C61CF99" w:rsidR="007B1344" w:rsidRPr="009F549F" w:rsidRDefault="002347BA" w:rsidP="002B7D8E">
      <w:pPr>
        <w:spacing w:before="240" w:after="240"/>
        <w:ind w:firstLine="720"/>
        <w:jc w:val="both"/>
        <w:rPr>
          <w:rFonts w:eastAsia="Century Schoolbook"/>
        </w:rPr>
      </w:pPr>
      <w:r w:rsidRPr="009F549F">
        <w:rPr>
          <w:rFonts w:eastAsia="Century Schoolbook"/>
        </w:rPr>
        <w:t xml:space="preserve">Even more than these issues, though, we think the key flaws in Land’s idea are the options it provides taxpayers. Like other forms of retrospective charges, the possibility of a future payment under Land’s formula offers the taxpayer political optionality benefits. That is, taxpayers could opt to delay tax while waiting for future legal or political changes that might allow them to escape or reduce their ultimate tax liabilities, and some taxpayers might also lobby or exert other political pressures to try to create such future legal or political changes. Another way </w:t>
      </w:r>
      <w:proofErr w:type="gramStart"/>
      <w:r w:rsidRPr="009F549F">
        <w:rPr>
          <w:rFonts w:eastAsia="Century Schoolbook"/>
        </w:rPr>
        <w:t>taxpayers</w:t>
      </w:r>
      <w:proofErr w:type="gramEnd"/>
      <w:r w:rsidRPr="009F549F">
        <w:rPr>
          <w:rFonts w:eastAsia="Century Schoolbook"/>
        </w:rPr>
        <w:t xml:space="preserve"> might escape</w:t>
      </w:r>
      <w:r w:rsidR="00D911FD" w:rsidRPr="00036097">
        <w:rPr>
          <w:rFonts w:eastAsia="Century Schoolbook"/>
        </w:rPr>
        <w:t>—</w:t>
      </w:r>
      <w:r w:rsidRPr="009F549F">
        <w:rPr>
          <w:rFonts w:eastAsia="Century Schoolbook"/>
        </w:rPr>
        <w:t>and this problem afflicts retrospective charges generally</w:t>
      </w:r>
      <w:r w:rsidR="00D911FD" w:rsidRPr="00036097">
        <w:rPr>
          <w:rFonts w:eastAsia="Century Schoolbook"/>
        </w:rPr>
        <w:t>—</w:t>
      </w:r>
      <w:r w:rsidRPr="009F549F">
        <w:rPr>
          <w:rFonts w:eastAsia="Century Schoolbook"/>
        </w:rPr>
        <w:t>is to make themselves relatively judgment-proof before sale.</w:t>
      </w:r>
      <w:r w:rsidRPr="009F549F">
        <w:rPr>
          <w:rFonts w:eastAsia="Century Schoolbook"/>
          <w:vertAlign w:val="superscript"/>
        </w:rPr>
        <w:footnoteReference w:id="167"/>
      </w:r>
      <w:r w:rsidRPr="009F549F">
        <w:rPr>
          <w:rFonts w:eastAsia="Century Schoolbook"/>
        </w:rPr>
        <w:t xml:space="preserve">  </w:t>
      </w:r>
    </w:p>
    <w:p w14:paraId="433CBBBE" w14:textId="0C9CE9D7" w:rsidR="007B1344" w:rsidRPr="009F549F" w:rsidRDefault="002347BA">
      <w:pPr>
        <w:spacing w:before="240" w:after="240"/>
        <w:ind w:firstLine="720"/>
        <w:jc w:val="both"/>
        <w:rPr>
          <w:rFonts w:eastAsia="Century Schoolbook"/>
        </w:rPr>
      </w:pPr>
      <w:r w:rsidRPr="009F549F">
        <w:rPr>
          <w:rFonts w:eastAsia="Century Schoolbook"/>
        </w:rPr>
        <w:t xml:space="preserve">For all of these reasons, although our proposed ULTRA method bears a philosophical resemblance to Land’s yield-based approach for retrospective taxation in that both are based on the idea of the government having a notional equity interest, we will argue that our approach is more practical in terms of </w:t>
      </w:r>
      <w:r w:rsidR="006C4EEA" w:rsidRPr="00036097">
        <w:rPr>
          <w:rFonts w:eastAsia="Century Schoolbook"/>
        </w:rPr>
        <w:t xml:space="preserve">both </w:t>
      </w:r>
      <w:r w:rsidRPr="009F549F">
        <w:rPr>
          <w:rFonts w:eastAsia="Century Schoolbook"/>
        </w:rPr>
        <w:t>implementation and political sustainability.</w:t>
      </w:r>
      <w:r w:rsidRPr="009F549F">
        <w:rPr>
          <w:rFonts w:eastAsia="Century Schoolbook"/>
          <w:vertAlign w:val="superscript"/>
        </w:rPr>
        <w:footnoteReference w:id="168"/>
      </w:r>
      <w:r w:rsidRPr="009F549F">
        <w:rPr>
          <w:rFonts w:eastAsia="Century Schoolbook"/>
        </w:rPr>
        <w:t xml:space="preserve"> Like other retrospective approaches, </w:t>
      </w:r>
      <w:r w:rsidRPr="009F549F">
        <w:rPr>
          <w:rFonts w:eastAsia="Century Schoolbook"/>
        </w:rPr>
        <w:lastRenderedPageBreak/>
        <w:t>Land’s proposal would retain the realization rule and then use a formula for calculating the tax owed upon realization. By contrast, as we will explain in the next Part, our ULTRA proposal would make use of separated accounts and an alternative take-it-or-leave</w:t>
      </w:r>
      <w:r w:rsidR="00845BD8" w:rsidRPr="00036097">
        <w:rPr>
          <w:rFonts w:eastAsia="Century Schoolbook"/>
        </w:rPr>
        <w:t>-</w:t>
      </w:r>
      <w:r w:rsidRPr="009F549F">
        <w:rPr>
          <w:rFonts w:eastAsia="Century Schoolbook"/>
        </w:rPr>
        <w:t>it valuation mechanism so as to not be as dependent on realization.</w:t>
      </w:r>
    </w:p>
    <w:p w14:paraId="0BFB3DD2" w14:textId="3D436225" w:rsidR="007B1344" w:rsidRPr="009F549F" w:rsidRDefault="002347BA">
      <w:pPr>
        <w:pStyle w:val="Heading2"/>
        <w:rPr>
          <w:rFonts w:ascii="Times New Roman" w:hAnsi="Times New Roman"/>
          <w:i/>
          <w:sz w:val="24"/>
        </w:rPr>
      </w:pPr>
      <w:bookmarkStart w:id="99" w:name="_Ref119431677"/>
      <w:bookmarkStart w:id="100" w:name="_Toc115088934"/>
      <w:bookmarkStart w:id="101" w:name="_Toc120019830"/>
      <w:r w:rsidRPr="009F549F">
        <w:rPr>
          <w:rFonts w:ascii="Times New Roman" w:hAnsi="Times New Roman"/>
          <w:i/>
          <w:sz w:val="24"/>
        </w:rPr>
        <w:t>E.       In-</w:t>
      </w:r>
      <w:r w:rsidR="00537F42">
        <w:rPr>
          <w:rFonts w:ascii="Times New Roman" w:hAnsi="Times New Roman" w:cs="Times New Roman"/>
          <w:i/>
          <w:sz w:val="24"/>
          <w:szCs w:val="24"/>
        </w:rPr>
        <w:t>K</w:t>
      </w:r>
      <w:r w:rsidRPr="009F549F">
        <w:rPr>
          <w:rFonts w:ascii="Times New Roman" w:hAnsi="Times New Roman"/>
          <w:i/>
          <w:sz w:val="24"/>
        </w:rPr>
        <w:t xml:space="preserve">ind Payments </w:t>
      </w:r>
      <w:r w:rsidR="00537F42">
        <w:rPr>
          <w:rFonts w:ascii="Times New Roman" w:hAnsi="Times New Roman" w:cs="Times New Roman"/>
          <w:i/>
          <w:sz w:val="24"/>
          <w:szCs w:val="24"/>
        </w:rPr>
        <w:t>A</w:t>
      </w:r>
      <w:r w:rsidRPr="009F549F">
        <w:rPr>
          <w:rFonts w:ascii="Times New Roman" w:hAnsi="Times New Roman"/>
          <w:i/>
          <w:sz w:val="24"/>
        </w:rPr>
        <w:t>re Not Sufficiently Kind</w:t>
      </w:r>
      <w:bookmarkEnd w:id="99"/>
      <w:bookmarkEnd w:id="100"/>
      <w:bookmarkEnd w:id="101"/>
    </w:p>
    <w:p w14:paraId="407F53F1" w14:textId="3DC5C814" w:rsidR="007B1344" w:rsidRPr="009F549F" w:rsidRDefault="002347BA">
      <w:pPr>
        <w:pBdr>
          <w:top w:val="nil"/>
          <w:left w:val="nil"/>
          <w:bottom w:val="nil"/>
          <w:right w:val="nil"/>
          <w:between w:val="nil"/>
        </w:pBdr>
        <w:spacing w:before="240" w:after="240"/>
        <w:ind w:firstLine="720"/>
        <w:jc w:val="both"/>
        <w:rPr>
          <w:rFonts w:eastAsia="Century Schoolbook"/>
        </w:rPr>
      </w:pPr>
      <w:r w:rsidRPr="009F549F">
        <w:rPr>
          <w:rFonts w:eastAsia="Century Schoolbook"/>
        </w:rPr>
        <w:t>If interest charges that resemble a government equity interest have some promise, why not an actual government equity stake? That idea has been proposed recently by Jeremey Bearer-Friend</w:t>
      </w:r>
      <w:r w:rsidRPr="009F549F">
        <w:rPr>
          <w:rFonts w:eastAsia="Century Schoolbook"/>
          <w:vertAlign w:val="superscript"/>
        </w:rPr>
        <w:footnoteReference w:id="169"/>
      </w:r>
      <w:r w:rsidRPr="009F549F">
        <w:rPr>
          <w:rFonts w:eastAsia="Century Schoolbook"/>
        </w:rPr>
        <w:t xml:space="preserve"> and is also a component of the wealth tax proposal from Emmanuel </w:t>
      </w:r>
      <w:proofErr w:type="spellStart"/>
      <w:r w:rsidRPr="009F549F">
        <w:rPr>
          <w:rFonts w:eastAsia="Century Schoolbook"/>
        </w:rPr>
        <w:t>Saez</w:t>
      </w:r>
      <w:proofErr w:type="spellEnd"/>
      <w:r w:rsidRPr="009F549F">
        <w:rPr>
          <w:rFonts w:eastAsia="Century Schoolbook"/>
        </w:rPr>
        <w:t xml:space="preserve"> and Gabriel Zucman.</w:t>
      </w:r>
      <w:r w:rsidRPr="009F549F">
        <w:rPr>
          <w:rFonts w:eastAsia="Century Schoolbook"/>
          <w:vertAlign w:val="superscript"/>
        </w:rPr>
        <w:footnoteReference w:id="170"/>
      </w:r>
      <w:r w:rsidRPr="009F549F">
        <w:rPr>
          <w:rFonts w:eastAsia="Century Schoolbook"/>
        </w:rPr>
        <w:t xml:space="preserve"> </w:t>
      </w:r>
      <w:proofErr w:type="spellStart"/>
      <w:r w:rsidRPr="009F549F">
        <w:rPr>
          <w:rFonts w:eastAsia="Century Schoolbook"/>
        </w:rPr>
        <w:t>Saez</w:t>
      </w:r>
      <w:proofErr w:type="spellEnd"/>
      <w:r w:rsidRPr="009F549F">
        <w:rPr>
          <w:rFonts w:eastAsia="Century Schoolbook"/>
        </w:rPr>
        <w:t xml:space="preserve"> and Zucman offer in-kind payments, such as with shares of a start-up, as a solution to potential liquidity and valuation problems. Consider the founder of a startup who is only wealthy on account of illiquid shares in the startup. </w:t>
      </w:r>
      <w:r w:rsidR="00BD4B9F">
        <w:rPr>
          <w:rFonts w:eastAsia="Century Schoolbook"/>
        </w:rPr>
        <w:t>If</w:t>
      </w:r>
      <w:r w:rsidR="00BD4B9F" w:rsidRPr="00036097">
        <w:rPr>
          <w:rFonts w:eastAsia="Century Schoolbook"/>
        </w:rPr>
        <w:t xml:space="preserve"> </w:t>
      </w:r>
      <w:r w:rsidRPr="00036097">
        <w:rPr>
          <w:rFonts w:eastAsia="Century Schoolbook"/>
        </w:rPr>
        <w:t>the</w:t>
      </w:r>
      <w:r w:rsidR="00BD4B9F">
        <w:rPr>
          <w:rFonts w:eastAsia="Century Schoolbook"/>
        </w:rPr>
        <w:t>y</w:t>
      </w:r>
      <w:r w:rsidRPr="009F549F">
        <w:rPr>
          <w:rFonts w:eastAsia="Century Schoolbook"/>
        </w:rPr>
        <w:t xml:space="preserve"> </w:t>
      </w:r>
      <w:r w:rsidRPr="00036097">
        <w:rPr>
          <w:rFonts w:eastAsia="Century Schoolbook"/>
        </w:rPr>
        <w:t>ha</w:t>
      </w:r>
      <w:r w:rsidR="00BD4B9F">
        <w:rPr>
          <w:rFonts w:eastAsia="Century Schoolbook"/>
        </w:rPr>
        <w:t>ve</w:t>
      </w:r>
      <w:r w:rsidRPr="009F549F">
        <w:rPr>
          <w:rFonts w:eastAsia="Century Schoolbook"/>
        </w:rPr>
        <w:t xml:space="preserve"> </w:t>
      </w:r>
      <w:r w:rsidR="003237E5" w:rsidRPr="00036097">
        <w:rPr>
          <w:rFonts w:eastAsia="Century Schoolbook"/>
        </w:rPr>
        <w:t xml:space="preserve">one hundred </w:t>
      </w:r>
      <w:r w:rsidRPr="009F549F">
        <w:rPr>
          <w:rFonts w:eastAsia="Century Schoolbook"/>
        </w:rPr>
        <w:t xml:space="preserve">shares in </w:t>
      </w:r>
      <w:r w:rsidR="00BD4B9F">
        <w:rPr>
          <w:rFonts w:eastAsia="Century Schoolbook"/>
        </w:rPr>
        <w:t>their</w:t>
      </w:r>
      <w:r w:rsidRPr="009F549F">
        <w:rPr>
          <w:rFonts w:eastAsia="Century Schoolbook"/>
        </w:rPr>
        <w:t xml:space="preserve"> startup and the tax is 1</w:t>
      </w:r>
      <w:r w:rsidR="003237E5" w:rsidRPr="00036097">
        <w:rPr>
          <w:rFonts w:eastAsia="Century Schoolbook"/>
        </w:rPr>
        <w:t xml:space="preserve"> percent</w:t>
      </w:r>
      <w:r w:rsidRPr="009F549F">
        <w:rPr>
          <w:rFonts w:eastAsia="Century Schoolbook"/>
        </w:rPr>
        <w:t xml:space="preserve">, then </w:t>
      </w:r>
      <w:r w:rsidRPr="00036097">
        <w:rPr>
          <w:rFonts w:eastAsia="Century Schoolbook"/>
        </w:rPr>
        <w:t>the</w:t>
      </w:r>
      <w:r w:rsidR="00BD4B9F">
        <w:rPr>
          <w:rFonts w:eastAsia="Century Schoolbook"/>
        </w:rPr>
        <w:t>y</w:t>
      </w:r>
      <w:r w:rsidRPr="009F549F">
        <w:rPr>
          <w:rFonts w:eastAsia="Century Schoolbook"/>
        </w:rPr>
        <w:t xml:space="preserve"> could choose to pay </w:t>
      </w:r>
      <w:r w:rsidR="003237E5" w:rsidRPr="00036097">
        <w:rPr>
          <w:rFonts w:eastAsia="Century Schoolbook"/>
        </w:rPr>
        <w:t>one</w:t>
      </w:r>
      <w:r w:rsidRPr="009F549F">
        <w:rPr>
          <w:rFonts w:eastAsia="Century Schoolbook"/>
        </w:rPr>
        <w:t xml:space="preserve"> share to the government. The government would then auction off the share</w:t>
      </w:r>
      <w:r w:rsidR="00E13028" w:rsidRPr="00036097">
        <w:rPr>
          <w:rFonts w:eastAsia="Century Schoolbook"/>
        </w:rPr>
        <w:t>—</w:t>
      </w:r>
      <w:r w:rsidRPr="009F549F">
        <w:rPr>
          <w:rFonts w:eastAsia="Century Schoolbook"/>
        </w:rPr>
        <w:t xml:space="preserve">in effect, making </w:t>
      </w:r>
      <w:r w:rsidRPr="009F549F">
        <w:rPr>
          <w:rFonts w:eastAsia="Century Schoolbook"/>
        </w:rPr>
        <w:lastRenderedPageBreak/>
        <w:t>a market. The payment in shares solves the liquidity problem</w:t>
      </w:r>
      <w:r w:rsidR="00E13028" w:rsidRPr="00036097">
        <w:rPr>
          <w:rFonts w:eastAsia="Century Schoolbook"/>
        </w:rPr>
        <w:t>,</w:t>
      </w:r>
      <w:r w:rsidRPr="009F549F">
        <w:rPr>
          <w:rFonts w:eastAsia="Century Schoolbook"/>
        </w:rPr>
        <w:t xml:space="preserve"> and the creation of a market solves the valuation problem.</w:t>
      </w:r>
    </w:p>
    <w:p w14:paraId="6FC4164C" w14:textId="5340B25D" w:rsidR="007B1344" w:rsidRPr="009F549F" w:rsidRDefault="002347BA">
      <w:pPr>
        <w:pBdr>
          <w:top w:val="nil"/>
          <w:left w:val="nil"/>
          <w:bottom w:val="nil"/>
          <w:right w:val="nil"/>
          <w:between w:val="nil"/>
        </w:pBdr>
        <w:spacing w:before="240" w:after="240"/>
        <w:ind w:firstLine="720"/>
        <w:jc w:val="both"/>
        <w:rPr>
          <w:rFonts w:eastAsia="Century Schoolbook"/>
        </w:rPr>
      </w:pPr>
      <w:bookmarkStart w:id="102" w:name="_2grqrue" w:colFirst="0" w:colLast="0"/>
      <w:bookmarkEnd w:id="102"/>
      <w:r w:rsidRPr="009F549F">
        <w:rPr>
          <w:rFonts w:eastAsia="Century Schoolbook"/>
        </w:rPr>
        <w:t>However, the appeal of payment in-kind as an administrative matter declines as the number of businesses subject to this regime grows.</w:t>
      </w:r>
      <w:bookmarkStart w:id="103" w:name="_Ref115729492"/>
      <w:r w:rsidRPr="009F549F">
        <w:rPr>
          <w:rFonts w:eastAsia="Century Schoolbook"/>
          <w:vertAlign w:val="superscript"/>
        </w:rPr>
        <w:footnoteReference w:id="171"/>
      </w:r>
      <w:bookmarkEnd w:id="103"/>
      <w:r w:rsidRPr="009F549F">
        <w:rPr>
          <w:rFonts w:eastAsia="Century Schoolbook"/>
        </w:rPr>
        <w:t xml:space="preserve"> Having the government trying to dispose of shares in numerous successful regional plumbing supply businesses and other similar small businesses would be problematic economically and politically. Even if limited just to very wealthy taxpayers (and presumably very valuable businesses), we think this approach poses substantial political economy problems for the government to regularly take and dispose of significant assets in private businesses. Partially</w:t>
      </w:r>
      <w:r w:rsidR="00BE393A" w:rsidRPr="00036097">
        <w:rPr>
          <w:rFonts w:eastAsia="Century Schoolbook"/>
        </w:rPr>
        <w:t>,</w:t>
      </w:r>
      <w:r w:rsidRPr="009F549F">
        <w:rPr>
          <w:rFonts w:eastAsia="Century Schoolbook"/>
        </w:rPr>
        <w:t xml:space="preserve"> there is a problem of political optics</w:t>
      </w:r>
      <w:r w:rsidR="00BE393A" w:rsidRPr="00036097">
        <w:rPr>
          <w:rFonts w:eastAsia="Century Schoolbook"/>
        </w:rPr>
        <w:t xml:space="preserve"> and </w:t>
      </w:r>
      <w:r w:rsidRPr="009F549F">
        <w:rPr>
          <w:rFonts w:eastAsia="Century Schoolbook"/>
        </w:rPr>
        <w:t>public opinion</w:t>
      </w:r>
      <w:r w:rsidR="00BE393A" w:rsidRPr="00036097">
        <w:rPr>
          <w:rFonts w:eastAsia="Century Schoolbook"/>
        </w:rPr>
        <w:t>.</w:t>
      </w:r>
      <w:r w:rsidRPr="009F549F">
        <w:rPr>
          <w:rFonts w:eastAsia="Century Schoolbook"/>
          <w:vertAlign w:val="superscript"/>
        </w:rPr>
        <w:footnoteReference w:id="172"/>
      </w:r>
      <w:r w:rsidRPr="009F549F">
        <w:rPr>
          <w:rFonts w:eastAsia="Century Schoolbook"/>
        </w:rPr>
        <w:t xml:space="preserve"> </w:t>
      </w:r>
      <w:r w:rsidR="00BE393A" w:rsidRPr="00036097">
        <w:rPr>
          <w:rFonts w:eastAsia="Century Schoolbook"/>
        </w:rPr>
        <w:t>B</w:t>
      </w:r>
      <w:r w:rsidRPr="009F549F">
        <w:rPr>
          <w:rFonts w:eastAsia="Century Schoolbook"/>
        </w:rPr>
        <w:t xml:space="preserve">ut there is </w:t>
      </w:r>
      <w:r w:rsidR="00645E8C" w:rsidRPr="00036097">
        <w:rPr>
          <w:rFonts w:eastAsia="Century Schoolbook"/>
        </w:rPr>
        <w:t xml:space="preserve">also </w:t>
      </w:r>
      <w:r w:rsidRPr="009F549F">
        <w:rPr>
          <w:rFonts w:eastAsia="Century Schoolbook"/>
        </w:rPr>
        <w:t>a nontrivial problem of political entanglements</w:t>
      </w:r>
      <w:r w:rsidR="00AA1692">
        <w:rPr>
          <w:rFonts w:ascii="Century Schoolbook" w:eastAsia="Century Schoolbook" w:hAnsi="Century Schoolbook" w:cs="Century Schoolbook"/>
        </w:rPr>
        <w:t xml:space="preserve">. </w:t>
      </w:r>
      <w:r w:rsidRPr="009F549F">
        <w:rPr>
          <w:rFonts w:eastAsia="Century Schoolbook"/>
        </w:rPr>
        <w:t>Just when should the government sell its shares? Might regulators treat a business differently if the government stood to gain a substantial amount when the shares are sold?  Also, if this option is only to be available to some businesses, which ones?</w:t>
      </w:r>
      <w:r w:rsidRPr="009F549F">
        <w:rPr>
          <w:rFonts w:eastAsia="Century Schoolbook"/>
          <w:vertAlign w:val="superscript"/>
        </w:rPr>
        <w:footnoteReference w:id="173"/>
      </w:r>
      <w:r w:rsidRPr="009F549F">
        <w:rPr>
          <w:rFonts w:eastAsia="Century Schoolbook"/>
        </w:rPr>
        <w:t xml:space="preserve"> </w:t>
      </w:r>
    </w:p>
    <w:p w14:paraId="509841F7" w14:textId="19641B94" w:rsidR="007B1344" w:rsidRPr="009F549F" w:rsidRDefault="002347BA">
      <w:pPr>
        <w:pBdr>
          <w:top w:val="nil"/>
          <w:left w:val="nil"/>
          <w:bottom w:val="nil"/>
          <w:right w:val="nil"/>
          <w:between w:val="nil"/>
        </w:pBdr>
        <w:spacing w:before="240" w:after="240"/>
        <w:ind w:firstLine="720"/>
        <w:jc w:val="both"/>
        <w:rPr>
          <w:rFonts w:eastAsia="Century Schoolbook"/>
        </w:rPr>
      </w:pPr>
      <w:r w:rsidRPr="009F549F">
        <w:rPr>
          <w:rFonts w:eastAsia="Century Schoolbook"/>
        </w:rPr>
        <w:t>To be sure, there could be ways of making the authority responsible for selling the assets independent, but, leaving aside whether these reforms would be effective, the perception might well persist that it is not. The concern about state ownership of shares has a long pedigree and indeed has already resulted in many state constitutions forbidding state ownership of the shares of a private business.</w:t>
      </w:r>
      <w:bookmarkStart w:id="104" w:name="_Ref115722290"/>
      <w:r w:rsidRPr="009F549F">
        <w:rPr>
          <w:rFonts w:eastAsia="Century Schoolbook"/>
          <w:vertAlign w:val="superscript"/>
        </w:rPr>
        <w:footnoteReference w:id="174"/>
      </w:r>
      <w:bookmarkEnd w:id="104"/>
      <w:r w:rsidRPr="009F549F">
        <w:rPr>
          <w:rFonts w:eastAsia="Century Schoolbook"/>
        </w:rPr>
        <w:t xml:space="preserve"> More recently, the short-term stake the federal government took in </w:t>
      </w:r>
      <w:r w:rsidRPr="00036097">
        <w:rPr>
          <w:rFonts w:eastAsia="Century Schoolbook"/>
        </w:rPr>
        <w:t>G</w:t>
      </w:r>
      <w:r w:rsidR="00D85368" w:rsidRPr="00036097">
        <w:rPr>
          <w:rFonts w:eastAsia="Century Schoolbook"/>
        </w:rPr>
        <w:t>eneral Motors</w:t>
      </w:r>
      <w:r w:rsidRPr="009F549F">
        <w:rPr>
          <w:rFonts w:eastAsia="Century Schoolbook"/>
        </w:rPr>
        <w:t xml:space="preserve"> </w:t>
      </w:r>
      <w:r w:rsidRPr="009F549F">
        <w:rPr>
          <w:rFonts w:eastAsia="Century Schoolbook"/>
        </w:rPr>
        <w:lastRenderedPageBreak/>
        <w:t>during the Great Recession was extremely controversial,</w:t>
      </w:r>
      <w:r w:rsidRPr="009F549F">
        <w:rPr>
          <w:rFonts w:eastAsia="Century Schoolbook"/>
          <w:vertAlign w:val="superscript"/>
        </w:rPr>
        <w:footnoteReference w:id="175"/>
      </w:r>
      <w:r w:rsidRPr="009F549F">
        <w:rPr>
          <w:rFonts w:eastAsia="Century Schoolbook"/>
        </w:rPr>
        <w:t xml:space="preserve"> even though the overall relief program of which it was a part is generally seen as a success.</w:t>
      </w:r>
      <w:bookmarkStart w:id="105" w:name="_Ref115810466"/>
      <w:r w:rsidRPr="009F549F">
        <w:rPr>
          <w:rFonts w:eastAsia="Century Schoolbook"/>
          <w:vertAlign w:val="superscript"/>
        </w:rPr>
        <w:footnoteReference w:id="176"/>
      </w:r>
      <w:bookmarkEnd w:id="105"/>
      <w:r w:rsidRPr="009F549F">
        <w:rPr>
          <w:rFonts w:eastAsia="Century Schoolbook"/>
        </w:rPr>
        <w:t xml:space="preserve">  </w:t>
      </w:r>
    </w:p>
    <w:p w14:paraId="7C279158" w14:textId="55AF3575" w:rsidR="007B1344" w:rsidRPr="009F549F" w:rsidRDefault="002347BA">
      <w:pPr>
        <w:pBdr>
          <w:top w:val="nil"/>
          <w:left w:val="nil"/>
          <w:bottom w:val="nil"/>
          <w:right w:val="nil"/>
          <w:between w:val="nil"/>
        </w:pBdr>
        <w:spacing w:before="240" w:after="240"/>
        <w:ind w:firstLine="720"/>
        <w:jc w:val="both"/>
        <w:rPr>
          <w:rFonts w:eastAsia="Century Schoolbook"/>
        </w:rPr>
      </w:pPr>
      <w:r w:rsidRPr="009F549F">
        <w:rPr>
          <w:rFonts w:eastAsia="Century Schoolbook"/>
        </w:rPr>
        <w:t>In sum, with guardrails, we think that paying in</w:t>
      </w:r>
      <w:r w:rsidR="00B71C2C">
        <w:rPr>
          <w:rFonts w:eastAsia="Century Schoolbook"/>
        </w:rPr>
        <w:t>-</w:t>
      </w:r>
      <w:r w:rsidRPr="009F549F">
        <w:rPr>
          <w:rFonts w:eastAsia="Century Schoolbook"/>
        </w:rPr>
        <w:t>kind is a possible solution for some valuation problems, but one that raises significant political economy concerns. Yet note that a substantial portion of the political economy problem involves the actual transfer of shares to the government. As we will explain, the ULTRA approach should be seen as aiming to achieve the benefits of the in-kind payment approach while reducing the political economy costs because this approach does not turn the government into an actual shareholder.</w:t>
      </w:r>
    </w:p>
    <w:p w14:paraId="14FFDD66" w14:textId="3DA2BA6C" w:rsidR="007B1344" w:rsidRPr="009F549F" w:rsidRDefault="002347BA">
      <w:pPr>
        <w:pStyle w:val="Heading2"/>
        <w:rPr>
          <w:rFonts w:ascii="Times New Roman" w:hAnsi="Times New Roman"/>
          <w:i/>
          <w:sz w:val="24"/>
        </w:rPr>
      </w:pPr>
      <w:bookmarkStart w:id="106" w:name="_Ref119431300"/>
      <w:bookmarkStart w:id="107" w:name="_Toc115088935"/>
      <w:bookmarkStart w:id="108" w:name="_Toc120019831"/>
      <w:r w:rsidRPr="009F549F">
        <w:rPr>
          <w:rFonts w:ascii="Times New Roman" w:hAnsi="Times New Roman"/>
          <w:i/>
          <w:sz w:val="24"/>
        </w:rPr>
        <w:t xml:space="preserve">F.   Key Tools Already </w:t>
      </w:r>
      <w:r w:rsidR="00E75CE0" w:rsidRPr="009F549F">
        <w:rPr>
          <w:rFonts w:ascii="Times New Roman" w:hAnsi="Times New Roman"/>
          <w:i/>
          <w:sz w:val="24"/>
        </w:rPr>
        <w:t>in</w:t>
      </w:r>
      <w:r w:rsidRPr="009F549F">
        <w:rPr>
          <w:rFonts w:ascii="Times New Roman" w:hAnsi="Times New Roman"/>
          <w:i/>
          <w:sz w:val="24"/>
        </w:rPr>
        <w:t xml:space="preserve"> Use: Separated Accounts, Information</w:t>
      </w:r>
      <w:r w:rsidR="006A136E">
        <w:rPr>
          <w:rFonts w:ascii="Times New Roman" w:hAnsi="Times New Roman" w:cs="Times New Roman"/>
          <w:i/>
          <w:sz w:val="24"/>
          <w:szCs w:val="24"/>
        </w:rPr>
        <w:t>-</w:t>
      </w:r>
      <w:r w:rsidRPr="009F549F">
        <w:rPr>
          <w:rFonts w:ascii="Times New Roman" w:hAnsi="Times New Roman"/>
          <w:i/>
          <w:sz w:val="24"/>
        </w:rPr>
        <w:t>Generating Rules, and the Problem of Identifying Withdrawals</w:t>
      </w:r>
      <w:bookmarkEnd w:id="106"/>
      <w:bookmarkEnd w:id="107"/>
      <w:bookmarkEnd w:id="108"/>
    </w:p>
    <w:p w14:paraId="2D2FBA22" w14:textId="17199BB8" w:rsidR="007B1344" w:rsidRPr="009F549F" w:rsidRDefault="002347BA" w:rsidP="00C90DE1">
      <w:pPr>
        <w:spacing w:before="240" w:after="240"/>
        <w:ind w:firstLine="720"/>
        <w:jc w:val="both"/>
        <w:rPr>
          <w:rFonts w:eastAsia="Century Schoolbook"/>
        </w:rPr>
      </w:pPr>
      <w:r w:rsidRPr="009F549F">
        <w:t>The final approach we wish to discuss</w:t>
      </w:r>
      <w:r w:rsidR="000D03AE" w:rsidRPr="00036097">
        <w:rPr>
          <w:iCs/>
        </w:rPr>
        <w:t>—</w:t>
      </w:r>
      <w:r w:rsidRPr="009F549F">
        <w:t>separated accounts</w:t>
      </w:r>
      <w:r w:rsidR="000D03AE" w:rsidRPr="00036097">
        <w:rPr>
          <w:iCs/>
        </w:rPr>
        <w:t>—</w:t>
      </w:r>
      <w:r w:rsidRPr="009F549F">
        <w:t xml:space="preserve">is a little different. </w:t>
      </w:r>
      <w:r w:rsidR="004B5346" w:rsidRPr="009F549F">
        <w:t>Specifically, s</w:t>
      </w:r>
      <w:r w:rsidRPr="009F549F">
        <w:t>eparated accounts differ from the other partial solutions we have discussed so far in this Part because they are not directly aimed at the difficulty of valuing hard-to-value assets but rather are designed to make the realization rule work for assets that are being held for designated purposes.</w:t>
      </w:r>
      <w:r w:rsidR="007A0088">
        <w:t xml:space="preserve"> In our ULTRA approach, some of a taxpayer's assets are subject to </w:t>
      </w:r>
      <w:r w:rsidR="009C79B6">
        <w:t>the special ULTRA rules</w:t>
      </w:r>
      <w:r w:rsidR="007A0088">
        <w:t xml:space="preserve">, and some are not. It turns out that the tax system already offers other examples where the realization rule is applied differently to different assets for a single </w:t>
      </w:r>
      <w:r w:rsidR="009C79B6">
        <w:t>taxpayer</w:t>
      </w:r>
      <w:r w:rsidR="007A0088">
        <w:t>. Usually,</w:t>
      </w:r>
      <w:r w:rsidRPr="009F549F">
        <w:t xml:space="preserve"> the taxpayer owners </w:t>
      </w:r>
      <w:r w:rsidR="00621810">
        <w:t xml:space="preserve">can set aside </w:t>
      </w:r>
      <w:r w:rsidR="0033474D">
        <w:t>some assets for special uses and get special tax treatment—often partial relief from the realization rule—in exchange. The classic example is the individual retirement account, or IRA.</w:t>
      </w:r>
      <w:r w:rsidR="0033474D">
        <w:rPr>
          <w:rStyle w:val="FootnoteReference"/>
        </w:rPr>
        <w:footnoteReference w:id="177"/>
      </w:r>
      <w:r w:rsidR="0033474D">
        <w:t xml:space="preserve"> A taxpayer puts investment money into an investment account, and doesn't pay tax on any </w:t>
      </w:r>
      <w:r w:rsidR="0033474D">
        <w:lastRenderedPageBreak/>
        <w:t>investment gains until retirement, even if some of the investments are sold and re-invested.</w:t>
      </w:r>
      <w:r w:rsidR="0033474D">
        <w:rPr>
          <w:rStyle w:val="FootnoteReference"/>
        </w:rPr>
        <w:footnoteReference w:id="178"/>
      </w:r>
      <w:r w:rsidR="0033474D">
        <w:t xml:space="preserve"> </w:t>
      </w:r>
      <w:r w:rsidR="007A0088">
        <w:t>Other examples include</w:t>
      </w:r>
      <w:r w:rsidRPr="009F549F">
        <w:rPr>
          <w:rFonts w:eastAsia="Century Schoolbook"/>
        </w:rPr>
        <w:t xml:space="preserve"> the corporate income tax, and trust taxation regimes, among other existing tax rules. All of these involve separated accounts</w:t>
      </w:r>
      <w:r w:rsidR="004F5729" w:rsidRPr="009F549F">
        <w:rPr>
          <w:rFonts w:eastAsia="Century Schoolbook"/>
        </w:rPr>
        <w:t xml:space="preserve"> mechanisms</w:t>
      </w:r>
      <w:r w:rsidRPr="009F549F">
        <w:rPr>
          <w:rFonts w:eastAsia="Century Schoolbook"/>
        </w:rPr>
        <w:t xml:space="preserve"> whereby income earned by assets held within the separated accounts is not taxable to the owners or beneficiaries of the accounts until there has been some form of distribution or deemed distribution from the accounts. For instance, a closely held C corporation might have only a single owner who has contributed assets to the corporation.</w:t>
      </w:r>
      <w:r w:rsidRPr="009F549F">
        <w:rPr>
          <w:rFonts w:eastAsia="Century Schoolbook"/>
          <w:vertAlign w:val="superscript"/>
        </w:rPr>
        <w:footnoteReference w:id="179"/>
      </w:r>
      <w:r w:rsidRPr="009F549F">
        <w:rPr>
          <w:rFonts w:eastAsia="Century Schoolbook"/>
        </w:rPr>
        <w:t xml:space="preserve"> Nevertheless, any income earned by assets held by that corporation would not be taxed to the owner unless the corporation transfers property to the owner, such as through a dividend, deemed dividend, or stock buyback.</w:t>
      </w:r>
      <w:commentRangeStart w:id="109"/>
      <w:commentRangeEnd w:id="109"/>
    </w:p>
    <w:p w14:paraId="1B047E33" w14:textId="35AB4028" w:rsidR="007B1344" w:rsidRPr="009F549F" w:rsidRDefault="002347BA">
      <w:pPr>
        <w:spacing w:before="240" w:after="240"/>
        <w:ind w:firstLine="720"/>
        <w:jc w:val="both"/>
        <w:rPr>
          <w:rFonts w:eastAsia="Century Schoolbook"/>
        </w:rPr>
      </w:pPr>
      <w:bookmarkStart w:id="110" w:name="_3fwokq0" w:colFirst="0" w:colLast="0"/>
      <w:bookmarkEnd w:id="110"/>
      <w:r w:rsidRPr="009F549F">
        <w:rPr>
          <w:rFonts w:eastAsia="Century Schoolbook"/>
        </w:rPr>
        <w:t xml:space="preserve">For our purposes, what is most interesting about these regimes are the rules governing what counts as withdrawals or deemed distributions from the accounts. These rules are critical because if the taxpayer owners or beneficiaries of these accounts could withdraw or otherwise access the assets held within the account without limitations, then these accounts could be used to escape the personal-level income tax (assuming, as </w:t>
      </w:r>
      <w:r w:rsidR="00B60820">
        <w:rPr>
          <w:rFonts w:eastAsia="Century Schoolbook"/>
        </w:rPr>
        <w:t>has generally been</w:t>
      </w:r>
      <w:r w:rsidR="00B60820" w:rsidRPr="009F549F">
        <w:rPr>
          <w:rFonts w:eastAsia="Century Schoolbook"/>
        </w:rPr>
        <w:t xml:space="preserve"> </w:t>
      </w:r>
      <w:r w:rsidRPr="009F549F">
        <w:rPr>
          <w:rFonts w:eastAsia="Century Schoolbook"/>
        </w:rPr>
        <w:t xml:space="preserve">the case </w:t>
      </w:r>
      <w:r w:rsidR="00B60820">
        <w:rPr>
          <w:rFonts w:eastAsia="Century Schoolbook"/>
        </w:rPr>
        <w:t>historically for</w:t>
      </w:r>
      <w:r w:rsidR="00B60820" w:rsidRPr="009F549F">
        <w:rPr>
          <w:rFonts w:eastAsia="Century Schoolbook"/>
        </w:rPr>
        <w:t xml:space="preserve"> </w:t>
      </w:r>
      <w:r w:rsidRPr="009F549F">
        <w:rPr>
          <w:rFonts w:eastAsia="Century Schoolbook"/>
        </w:rPr>
        <w:t>IRAs and C corporations, that the entity’s own tax is lower than the owner’s).</w:t>
      </w:r>
      <w:r w:rsidR="007A0088">
        <w:rPr>
          <w:rStyle w:val="FootnoteReference"/>
          <w:rFonts w:eastAsia="Century Schoolbook"/>
        </w:rPr>
        <w:footnoteReference w:id="180"/>
      </w:r>
      <w:r w:rsidRPr="009F549F">
        <w:rPr>
          <w:rFonts w:eastAsia="Century Schoolbook"/>
        </w:rPr>
        <w:t xml:space="preserve"> </w:t>
      </w:r>
      <w:r w:rsidR="006554FD">
        <w:rPr>
          <w:rFonts w:eastAsia="Century Schoolbook"/>
        </w:rPr>
        <w:t xml:space="preserve">Why keep any money in your own bank account when your corporation pays a lower tax rate, and you can spend its money freely? </w:t>
      </w:r>
      <w:r w:rsidRPr="009F549F">
        <w:rPr>
          <w:rFonts w:eastAsia="Century Schoolbook"/>
        </w:rPr>
        <w:t xml:space="preserve">Thus, multifaceted regimes have developed for preventing assets held within these accounts from being used for the personal benefit of owners or beneficiaries or for </w:t>
      </w:r>
      <w:r w:rsidR="00B26FAE">
        <w:rPr>
          <w:rFonts w:eastAsia="Century Schoolbook"/>
        </w:rPr>
        <w:t xml:space="preserve">treating </w:t>
      </w:r>
      <w:r w:rsidRPr="009F549F">
        <w:rPr>
          <w:rFonts w:eastAsia="Century Schoolbook"/>
        </w:rPr>
        <w:t>such personal benefits as deemed distributions that trigger personal-level tax.</w:t>
      </w:r>
      <w:r w:rsidRPr="009F549F">
        <w:rPr>
          <w:rFonts w:eastAsia="Century Schoolbook"/>
          <w:vertAlign w:val="superscript"/>
        </w:rPr>
        <w:footnoteReference w:id="181"/>
      </w:r>
      <w:r w:rsidRPr="009F549F">
        <w:rPr>
          <w:rFonts w:eastAsia="Century Schoolbook"/>
        </w:rPr>
        <w:t xml:space="preserve"> Of course, these rules are not perfect, </w:t>
      </w:r>
      <w:r w:rsidRPr="009F549F">
        <w:rPr>
          <w:rFonts w:eastAsia="Century Schoolbook"/>
        </w:rPr>
        <w:lastRenderedPageBreak/>
        <w:t xml:space="preserve">and there is some gaming. But these rules seem to work well enough in practice for separated accounts to function as primary features of the regimes governing corporate income taxation, the </w:t>
      </w:r>
      <w:r>
        <w:rPr>
          <w:rFonts w:ascii="Century Schoolbook" w:eastAsia="Century Schoolbook" w:hAnsi="Century Schoolbook" w:cs="Century Schoolbook"/>
        </w:rPr>
        <w:t>IR</w:t>
      </w:r>
      <w:r w:rsidR="0073328E">
        <w:rPr>
          <w:rFonts w:ascii="Century Schoolbook" w:eastAsia="Century Schoolbook" w:hAnsi="Century Schoolbook" w:cs="Century Schoolbook"/>
        </w:rPr>
        <w:t>A</w:t>
      </w:r>
      <w:r w:rsidRPr="009F549F">
        <w:rPr>
          <w:rFonts w:eastAsia="Century Schoolbook"/>
        </w:rPr>
        <w:t xml:space="preserve"> retirement account system, and trusts, among other critical tax regimes.</w:t>
      </w:r>
      <w:r w:rsidRPr="009F549F">
        <w:rPr>
          <w:rFonts w:eastAsia="Century Schoolbook"/>
          <w:vertAlign w:val="superscript"/>
        </w:rPr>
        <w:footnoteReference w:id="182"/>
      </w:r>
    </w:p>
    <w:p w14:paraId="166A27D2" w14:textId="7D6582C9" w:rsidR="007B1344" w:rsidRPr="009F549F" w:rsidRDefault="002347BA">
      <w:pPr>
        <w:spacing w:before="240" w:after="240"/>
        <w:ind w:firstLine="720"/>
        <w:jc w:val="both"/>
        <w:rPr>
          <w:rFonts w:eastAsia="Century Schoolbook"/>
        </w:rPr>
      </w:pPr>
      <w:r w:rsidRPr="009F549F">
        <w:rPr>
          <w:rFonts w:eastAsia="Century Schoolbook"/>
        </w:rPr>
        <w:t>An especially interesting separated</w:t>
      </w:r>
      <w:r w:rsidR="009C0C44" w:rsidRPr="00036097">
        <w:rPr>
          <w:rFonts w:eastAsia="Century Schoolbook"/>
        </w:rPr>
        <w:t>-</w:t>
      </w:r>
      <w:r w:rsidRPr="009F549F">
        <w:rPr>
          <w:rFonts w:eastAsia="Century Schoolbook"/>
        </w:rPr>
        <w:t>accounts regime, for our purposes, is the Passive Foreign Investment Company (“PFIC”) regime.</w:t>
      </w:r>
      <w:bookmarkStart w:id="111" w:name="_Ref115721591"/>
      <w:r w:rsidRPr="009F549F">
        <w:rPr>
          <w:rFonts w:eastAsia="Century Schoolbook"/>
          <w:vertAlign w:val="superscript"/>
        </w:rPr>
        <w:footnoteReference w:id="183"/>
      </w:r>
      <w:bookmarkEnd w:id="111"/>
      <w:r w:rsidRPr="009F549F">
        <w:rPr>
          <w:rFonts w:eastAsia="Century Schoolbook"/>
        </w:rPr>
        <w:t xml:space="preserve"> The PFIC regime was designed to prevent U.S. taxpayers from escaping U.S. income tax by investing through foreign entities. In essence, the PFIC regime offers applicable taxpayers who invest through foreign entities a choice between either (</w:t>
      </w:r>
      <w:r w:rsidR="00FE3154" w:rsidRPr="00036097">
        <w:rPr>
          <w:rFonts w:eastAsia="Century Schoolbook"/>
        </w:rPr>
        <w:t>1</w:t>
      </w:r>
      <w:r w:rsidRPr="009F549F">
        <w:rPr>
          <w:rFonts w:eastAsia="Century Schoolbook"/>
        </w:rPr>
        <w:t>) having the income from their PFIC assets taxed currently such as on a mark-to-market basis or (</w:t>
      </w:r>
      <w:r w:rsidR="00FE3154" w:rsidRPr="00036097">
        <w:rPr>
          <w:rFonts w:eastAsia="Century Schoolbook"/>
        </w:rPr>
        <w:t>2</w:t>
      </w:r>
      <w:r w:rsidRPr="009F549F">
        <w:rPr>
          <w:rFonts w:eastAsia="Century Schoolbook"/>
        </w:rPr>
        <w:t>) deferring income tax on these assets but then having a relatively steep interest charge added to the tax due upon sale or disposition of these assets and also upon any withdrawals or deemed distributions from the PFIC.</w:t>
      </w:r>
      <w:r w:rsidRPr="009F549F">
        <w:rPr>
          <w:rFonts w:eastAsia="Century Schoolbook"/>
          <w:vertAlign w:val="superscript"/>
        </w:rPr>
        <w:footnoteReference w:id="184"/>
      </w:r>
      <w:r w:rsidRPr="009F549F">
        <w:rPr>
          <w:rFonts w:eastAsia="Century Schoolbook"/>
        </w:rPr>
        <w:t xml:space="preserve"> </w:t>
      </w:r>
    </w:p>
    <w:p w14:paraId="01866D19" w14:textId="135774E7" w:rsidR="007B1344" w:rsidRPr="009F549F" w:rsidRDefault="002347BA">
      <w:pPr>
        <w:spacing w:before="240" w:after="240"/>
        <w:ind w:firstLine="720"/>
        <w:jc w:val="both"/>
        <w:rPr>
          <w:rFonts w:eastAsia="Century Schoolbook"/>
        </w:rPr>
      </w:pPr>
      <w:r w:rsidRPr="009F549F">
        <w:rPr>
          <w:rFonts w:eastAsia="Century Schoolbook"/>
        </w:rPr>
        <w:lastRenderedPageBreak/>
        <w:t xml:space="preserve">By contrast to the relatively low interest charge used by Senator Wyden’s proposed BIT reform or that Professor </w:t>
      </w:r>
      <w:proofErr w:type="spellStart"/>
      <w:r w:rsidRPr="009F549F">
        <w:rPr>
          <w:rFonts w:eastAsia="Century Schoolbook"/>
        </w:rPr>
        <w:t>Glogower</w:t>
      </w:r>
      <w:proofErr w:type="spellEnd"/>
      <w:r w:rsidRPr="009F549F">
        <w:rPr>
          <w:rFonts w:eastAsia="Century Schoolbook"/>
        </w:rPr>
        <w:t xml:space="preserve"> recommends,</w:t>
      </w:r>
      <w:r w:rsidRPr="009F549F">
        <w:rPr>
          <w:rFonts w:eastAsia="Century Schoolbook"/>
          <w:vertAlign w:val="superscript"/>
        </w:rPr>
        <w:footnoteReference w:id="185"/>
      </w:r>
      <w:r w:rsidRPr="009F549F">
        <w:rPr>
          <w:rFonts w:eastAsia="Century Schoolbook"/>
        </w:rPr>
        <w:t xml:space="preserve"> the interest charge for the PFIC regime’s deferral option along with its associated rules governing distributions has been described as “highly punitive</w:t>
      </w:r>
      <w:r w:rsidR="000473BC" w:rsidRPr="00036097">
        <w:rPr>
          <w:rFonts w:eastAsia="Century Schoolbook"/>
        </w:rPr>
        <w:t>.</w:t>
      </w:r>
      <w:r w:rsidRPr="00036097">
        <w:rPr>
          <w:rFonts w:eastAsia="Century Schoolbook"/>
        </w:rPr>
        <w:t>”</w:t>
      </w:r>
      <w:bookmarkStart w:id="112" w:name="_Ref120349702"/>
      <w:r w:rsidRPr="009F549F">
        <w:rPr>
          <w:rFonts w:eastAsia="Century Schoolbook"/>
          <w:vertAlign w:val="superscript"/>
        </w:rPr>
        <w:footnoteReference w:id="186"/>
      </w:r>
      <w:bookmarkEnd w:id="112"/>
      <w:r w:rsidRPr="009F549F">
        <w:rPr>
          <w:rFonts w:eastAsia="Century Schoolbook"/>
        </w:rPr>
        <w:t xml:space="preserve"> This is mostly by comparison to the relatively very lenient realization-based rules governing U.S. income taxation of investment assets generally, and we thus consider this “highly punitive” description to be something of an exaggeration. More accurate would be to say that the PFIC regime’s deferral option is designed to be strict and robust and to not err on the side of being taxpayer favorable</w:t>
      </w:r>
      <w:r w:rsidR="005B4DF5" w:rsidRPr="00036097">
        <w:rPr>
          <w:rFonts w:eastAsia="Century Schoolbook"/>
        </w:rPr>
        <w:t>.</w:t>
      </w:r>
      <w:r w:rsidRPr="009F549F">
        <w:rPr>
          <w:rFonts w:eastAsia="Century Schoolbook"/>
        </w:rPr>
        <w:t xml:space="preserve"> U.S. taxpayers can sometimes “find themselves paying significantly more tax” as a result of electing the PFIC regime’s deferral plus interest charge option instead of its current taxation option.</w:t>
      </w:r>
      <w:r w:rsidRPr="009F549F">
        <w:rPr>
          <w:rFonts w:eastAsia="Century Schoolbook"/>
          <w:vertAlign w:val="superscript"/>
        </w:rPr>
        <w:footnoteReference w:id="187"/>
      </w:r>
      <w:r w:rsidRPr="009F549F">
        <w:rPr>
          <w:rFonts w:eastAsia="Century Schoolbook"/>
        </w:rPr>
        <w:t xml:space="preserve"> Indeed, the eminent tax lawyers Boris </w:t>
      </w:r>
      <w:proofErr w:type="spellStart"/>
      <w:r w:rsidRPr="009F549F">
        <w:rPr>
          <w:rFonts w:eastAsia="Century Schoolbook"/>
        </w:rPr>
        <w:t>Bittker</w:t>
      </w:r>
      <w:proofErr w:type="spellEnd"/>
      <w:r w:rsidRPr="009F549F">
        <w:rPr>
          <w:rFonts w:eastAsia="Century Schoolbook"/>
        </w:rPr>
        <w:t xml:space="preserve"> and Lawrence </w:t>
      </w:r>
      <w:proofErr w:type="spellStart"/>
      <w:r w:rsidRPr="009F549F">
        <w:rPr>
          <w:rFonts w:eastAsia="Century Schoolbook"/>
        </w:rPr>
        <w:t>Lokken</w:t>
      </w:r>
      <w:proofErr w:type="spellEnd"/>
      <w:r w:rsidRPr="009F549F">
        <w:rPr>
          <w:rFonts w:eastAsia="Century Schoolbook"/>
        </w:rPr>
        <w:t xml:space="preserve"> have written that the strictness of the PFIC regime’s deferral plus interest charge option suggests that the rules are designed to “force” taxpayers to elect the current taxation option “wherever feasible</w:t>
      </w:r>
      <w:r w:rsidR="003B1CCE" w:rsidRPr="00036097">
        <w:rPr>
          <w:rFonts w:eastAsia="Century Schoolbook"/>
        </w:rPr>
        <w:t>.</w:t>
      </w:r>
      <w:r w:rsidRPr="00036097">
        <w:rPr>
          <w:rFonts w:eastAsia="Century Schoolbook"/>
        </w:rPr>
        <w:t>”</w:t>
      </w:r>
      <w:bookmarkStart w:id="113" w:name="_Ref119432436"/>
      <w:r w:rsidRPr="009F549F">
        <w:rPr>
          <w:rFonts w:eastAsia="Century Schoolbook"/>
          <w:vertAlign w:val="superscript"/>
        </w:rPr>
        <w:footnoteReference w:id="188"/>
      </w:r>
      <w:bookmarkEnd w:id="113"/>
      <w:r w:rsidRPr="009F549F">
        <w:rPr>
          <w:rFonts w:eastAsia="Century Schoolbook"/>
        </w:rPr>
        <w:t xml:space="preserve"> </w:t>
      </w:r>
    </w:p>
    <w:p w14:paraId="1D140857" w14:textId="245821E5" w:rsidR="007B1344" w:rsidRPr="009F549F" w:rsidRDefault="002347BA">
      <w:pPr>
        <w:spacing w:before="240" w:after="240"/>
        <w:ind w:firstLine="720"/>
        <w:jc w:val="both"/>
        <w:rPr>
          <w:rFonts w:eastAsia="Century Schoolbook"/>
        </w:rPr>
      </w:pPr>
      <w:r w:rsidRPr="009F549F">
        <w:rPr>
          <w:rFonts w:eastAsia="Century Schoolbook"/>
        </w:rPr>
        <w:t xml:space="preserve">Put another way, the PFIC regime’s deferral option is designed to be strict and robust </w:t>
      </w:r>
      <w:r w:rsidR="00D00733">
        <w:rPr>
          <w:rFonts w:eastAsia="Century Schoolbook"/>
        </w:rPr>
        <w:t>enough</w:t>
      </w:r>
      <w:r w:rsidRPr="009F549F">
        <w:rPr>
          <w:rFonts w:eastAsia="Century Schoolbook"/>
        </w:rPr>
        <w:t xml:space="preserve"> </w:t>
      </w:r>
      <w:r w:rsidR="00C3194F">
        <w:rPr>
          <w:rFonts w:eastAsia="Century Schoolbook"/>
        </w:rPr>
        <w:t xml:space="preserve">so </w:t>
      </w:r>
      <w:r w:rsidRPr="009F549F">
        <w:rPr>
          <w:rFonts w:eastAsia="Century Schoolbook"/>
        </w:rPr>
        <w:t>that taxpayers should generally not prefer it over the current taxation option except when the taxpayers face genuine valuation or liquidity issues that would make the current taxation option difficult to comply with. This can be thought of as a form of information</w:t>
      </w:r>
      <w:r w:rsidR="006A136E">
        <w:rPr>
          <w:rFonts w:eastAsia="Century Schoolbook"/>
        </w:rPr>
        <w:t>-</w:t>
      </w:r>
      <w:r w:rsidRPr="009F549F">
        <w:rPr>
          <w:rFonts w:eastAsia="Century Schoolbook"/>
        </w:rPr>
        <w:t>generating rule, in that taxpayers who face genuine issues in complying with the current taxation option should elect the deferral option, but taxpayers who merely seek to minimize their tax obligations should not generally face incentives to elect the deferral option.</w:t>
      </w:r>
      <w:r w:rsidRPr="009F549F">
        <w:rPr>
          <w:rFonts w:eastAsia="Century Schoolbook"/>
          <w:vertAlign w:val="superscript"/>
        </w:rPr>
        <w:footnoteReference w:id="189"/>
      </w:r>
      <w:r w:rsidRPr="009F549F">
        <w:rPr>
          <w:rFonts w:eastAsia="Century Schoolbook"/>
        </w:rPr>
        <w:t xml:space="preserve"> </w:t>
      </w:r>
    </w:p>
    <w:p w14:paraId="2490A42F" w14:textId="08400170" w:rsidR="007B1344" w:rsidRPr="009F549F" w:rsidRDefault="002347BA">
      <w:pPr>
        <w:spacing w:before="240" w:after="240"/>
        <w:ind w:firstLine="720"/>
        <w:jc w:val="both"/>
        <w:rPr>
          <w:rFonts w:eastAsia="Century Schoolbook"/>
        </w:rPr>
      </w:pPr>
      <w:r w:rsidRPr="009F549F">
        <w:rPr>
          <w:rFonts w:eastAsia="Century Schoolbook"/>
        </w:rPr>
        <w:lastRenderedPageBreak/>
        <w:t>As we will explain, the ULTRA approach is similarly designed to operate as a form of information</w:t>
      </w:r>
      <w:r w:rsidR="00793C1E">
        <w:rPr>
          <w:rFonts w:eastAsia="Century Schoolbook"/>
        </w:rPr>
        <w:t>-</w:t>
      </w:r>
      <w:r w:rsidRPr="009F549F">
        <w:rPr>
          <w:rFonts w:eastAsia="Century Schoolbook"/>
        </w:rPr>
        <w:t>generating rule by offering designated taxpayers a choice between either</w:t>
      </w:r>
      <w:r w:rsidR="00EE3850">
        <w:rPr>
          <w:rFonts w:eastAsia="Century Schoolbook"/>
        </w:rPr>
        <w:t>:</w:t>
      </w:r>
      <w:r w:rsidRPr="009F549F">
        <w:rPr>
          <w:rFonts w:eastAsia="Century Schoolbook"/>
        </w:rPr>
        <w:t xml:space="preserve"> (a) a strict and robust partial deferral option</w:t>
      </w:r>
      <w:r w:rsidR="00EE3850">
        <w:rPr>
          <w:rFonts w:eastAsia="Century Schoolbook"/>
        </w:rPr>
        <w:t>,</w:t>
      </w:r>
      <w:r w:rsidRPr="009F549F">
        <w:rPr>
          <w:rFonts w:eastAsia="Century Schoolbook"/>
        </w:rPr>
        <w:t xml:space="preserve"> or (b) a current taxation option. The ULTRA approach also builds on the rules developed for the PFIC regime and for other existing separated</w:t>
      </w:r>
      <w:r w:rsidR="0097792A">
        <w:rPr>
          <w:rFonts w:eastAsia="Century Schoolbook"/>
        </w:rPr>
        <w:t>-</w:t>
      </w:r>
      <w:r w:rsidRPr="009F549F">
        <w:rPr>
          <w:rFonts w:eastAsia="Century Schoolbook"/>
        </w:rPr>
        <w:t xml:space="preserve">accounts regimes to govern distributions and deemed distributions.  </w:t>
      </w:r>
    </w:p>
    <w:p w14:paraId="5BF7755A" w14:textId="309CF609" w:rsidR="007B1344" w:rsidRPr="009F549F" w:rsidRDefault="002347BA">
      <w:pPr>
        <w:spacing w:before="240" w:after="240"/>
        <w:ind w:firstLine="720"/>
        <w:jc w:val="both"/>
        <w:rPr>
          <w:rFonts w:eastAsia="Century Schoolbook"/>
        </w:rPr>
      </w:pPr>
      <w:r w:rsidRPr="009F549F">
        <w:rPr>
          <w:rFonts w:eastAsia="Century Schoolbook"/>
        </w:rPr>
        <w:t>However, a primary weakness of existing separated</w:t>
      </w:r>
      <w:r w:rsidR="00F53DB8">
        <w:rPr>
          <w:rFonts w:eastAsia="Century Schoolbook"/>
        </w:rPr>
        <w:t>-</w:t>
      </w:r>
      <w:r w:rsidRPr="00036097">
        <w:rPr>
          <w:rFonts w:eastAsia="Century Schoolbook"/>
        </w:rPr>
        <w:t>account</w:t>
      </w:r>
      <w:r w:rsidR="00F53DB8">
        <w:rPr>
          <w:rFonts w:eastAsia="Century Schoolbook"/>
        </w:rPr>
        <w:t>s</w:t>
      </w:r>
      <w:r w:rsidRPr="009F549F">
        <w:rPr>
          <w:rFonts w:eastAsia="Century Schoolbook"/>
        </w:rPr>
        <w:t xml:space="preserve"> regimes arises from personal-level borrowing.</w:t>
      </w:r>
      <w:bookmarkStart w:id="114" w:name="_Ref115971803"/>
      <w:r w:rsidRPr="009F549F">
        <w:rPr>
          <w:rFonts w:eastAsia="Century Schoolbook"/>
          <w:vertAlign w:val="superscript"/>
        </w:rPr>
        <w:footnoteReference w:id="190"/>
      </w:r>
      <w:bookmarkEnd w:id="114"/>
      <w:r w:rsidRPr="009F549F">
        <w:rPr>
          <w:rFonts w:eastAsia="Century Schoolbook"/>
        </w:rPr>
        <w:t xml:space="preserve"> </w:t>
      </w:r>
      <w:r w:rsidR="00B26FAE">
        <w:rPr>
          <w:rFonts w:eastAsia="Century Schoolbook"/>
        </w:rPr>
        <w:t>In theory, a separate-accounts system can treat borrowing</w:t>
      </w:r>
      <w:r w:rsidR="00AD5974">
        <w:rPr>
          <w:rFonts w:eastAsia="Century Schoolbook"/>
        </w:rPr>
        <w:t xml:space="preserve"> in which the account funds are collateral as a distribution. But</w:t>
      </w:r>
      <w:r w:rsidRPr="009F549F">
        <w:rPr>
          <w:rFonts w:eastAsia="Century Schoolbook"/>
        </w:rPr>
        <w:t xml:space="preserve"> because money is fungible, these regimes generally do not try to prevent owners or beneficiaries from borrowing indirectly based on their personal creditworthiness—which of course may be based in part on lenders’ knowledge of these assets.</w:t>
      </w:r>
      <w:bookmarkStart w:id="115" w:name="_Ref119432461"/>
      <w:r w:rsidRPr="009F549F">
        <w:rPr>
          <w:rFonts w:eastAsia="Century Schoolbook"/>
          <w:vertAlign w:val="superscript"/>
        </w:rPr>
        <w:footnoteReference w:id="191"/>
      </w:r>
      <w:bookmarkEnd w:id="115"/>
      <w:r w:rsidRPr="009F549F">
        <w:rPr>
          <w:rFonts w:eastAsia="Century Schoolbook"/>
        </w:rPr>
        <w:t xml:space="preserve"> Thus, a standard tax planning technique for owners or beneficiaries of these accounts is to borrow to the extent funds are needed either for personal consumption or for starting new investments or business endeavors, rather than withdrawing funds from the separated accounts and triggering tax.</w:t>
      </w:r>
      <w:r w:rsidRPr="009F549F">
        <w:rPr>
          <w:rFonts w:eastAsia="Century Schoolbook"/>
          <w:vertAlign w:val="superscript"/>
        </w:rPr>
        <w:footnoteReference w:id="192"/>
      </w:r>
    </w:p>
    <w:p w14:paraId="3F5DF0D3" w14:textId="07F11FCB" w:rsidR="007B1344" w:rsidRPr="009F549F" w:rsidRDefault="002347BA">
      <w:pPr>
        <w:spacing w:before="240" w:after="240"/>
        <w:ind w:firstLine="720"/>
        <w:jc w:val="both"/>
        <w:rPr>
          <w:rFonts w:eastAsia="Century Schoolbook"/>
        </w:rPr>
      </w:pPr>
      <w:r w:rsidRPr="009F549F">
        <w:rPr>
          <w:rFonts w:eastAsia="Century Schoolbook"/>
        </w:rPr>
        <w:t>Notably, all realization-based tax systems and other retrospective tax rules rely on separated accounts for critical features of their operations.</w:t>
      </w:r>
      <w:r w:rsidRPr="009F549F">
        <w:rPr>
          <w:rFonts w:eastAsia="Century Schoolbook"/>
          <w:vertAlign w:val="superscript"/>
        </w:rPr>
        <w:footnoteReference w:id="193"/>
      </w:r>
      <w:r w:rsidRPr="009F549F">
        <w:rPr>
          <w:rFonts w:eastAsia="Century Schoolbook"/>
        </w:rPr>
        <w:t xml:space="preserve"> This means that the problems arising from personal-level borrowing and other issues related to identifying withdrawals and deemed distributions plague all of these tax systems. Put another way, any tax system that allows taxpayers to defer tax liabilities potentially creates large incentives for taxpayers to attempt to effectively withdraw </w:t>
      </w:r>
      <w:r w:rsidRPr="009F549F">
        <w:rPr>
          <w:rFonts w:eastAsia="Century Schoolbook"/>
        </w:rPr>
        <w:lastRenderedPageBreak/>
        <w:t>funds without triggering tax, such as through personal</w:t>
      </w:r>
      <w:r w:rsidR="0031694F" w:rsidRPr="00036097">
        <w:rPr>
          <w:rFonts w:eastAsia="Century Schoolbook"/>
        </w:rPr>
        <w:t>-</w:t>
      </w:r>
      <w:r w:rsidRPr="009F549F">
        <w:rPr>
          <w:rFonts w:eastAsia="Century Schoolbook"/>
        </w:rPr>
        <w:t>level borrowing. Further, these incentives interact problematically with political optionality because effectively withdrawing funds without triggering tax makes it easier for taxpayers to wait for future legal or political changes that might permit fully and permanently escaping tax.</w:t>
      </w:r>
    </w:p>
    <w:p w14:paraId="11EC98D6" w14:textId="633B9113" w:rsidR="007B1344" w:rsidRPr="009F549F" w:rsidRDefault="002347BA">
      <w:pPr>
        <w:spacing w:before="240" w:after="240"/>
        <w:ind w:firstLine="720"/>
        <w:jc w:val="both"/>
        <w:rPr>
          <w:rFonts w:eastAsia="Century Schoolbook"/>
        </w:rPr>
      </w:pPr>
      <w:r w:rsidRPr="009F549F">
        <w:rPr>
          <w:rFonts w:eastAsia="Century Schoolbook"/>
        </w:rPr>
        <w:t xml:space="preserve">In particular, it has </w:t>
      </w:r>
      <w:r w:rsidR="00B60820">
        <w:rPr>
          <w:rFonts w:eastAsia="Century Schoolbook"/>
        </w:rPr>
        <w:t>frequently</w:t>
      </w:r>
      <w:r w:rsidR="00B60820" w:rsidRPr="009F549F">
        <w:rPr>
          <w:rFonts w:eastAsia="Century Schoolbook"/>
        </w:rPr>
        <w:t xml:space="preserve"> </w:t>
      </w:r>
      <w:r w:rsidRPr="009F549F">
        <w:rPr>
          <w:rFonts w:eastAsia="Century Schoolbook"/>
        </w:rPr>
        <w:t>been noted that realization-based and retrospective tax regimes can only work successfully if death is deemed to be a realization event for triggering tax.</w:t>
      </w:r>
      <w:r w:rsidRPr="009F549F">
        <w:rPr>
          <w:rFonts w:eastAsia="Century Schoolbook"/>
          <w:vertAlign w:val="superscript"/>
        </w:rPr>
        <w:footnoteReference w:id="194"/>
      </w:r>
      <w:r w:rsidRPr="009F549F">
        <w:rPr>
          <w:rFonts w:eastAsia="Century Schoolbook"/>
        </w:rPr>
        <w:t xml:space="preserve"> But the history of prior attempts at ending the current </w:t>
      </w:r>
      <w:r w:rsidR="00AD5974">
        <w:rPr>
          <w:rFonts w:eastAsia="Century Schoolbook"/>
        </w:rPr>
        <w:t>favorable income-tax treatment of</w:t>
      </w:r>
      <w:r w:rsidR="00AD5974" w:rsidRPr="009F549F">
        <w:rPr>
          <w:rFonts w:eastAsia="Century Schoolbook"/>
        </w:rPr>
        <w:t xml:space="preserve"> </w:t>
      </w:r>
      <w:r w:rsidR="00AD5974">
        <w:rPr>
          <w:rFonts w:eastAsia="Century Schoolbook"/>
        </w:rPr>
        <w:t>inherited wealth</w:t>
      </w:r>
      <w:r w:rsidRPr="009F549F">
        <w:rPr>
          <w:rFonts w:eastAsia="Century Schoolbook"/>
        </w:rPr>
        <w:t xml:space="preserve"> suggests that political optionality dynamics would ultimately undo reforms making death the general event for triggering tax.</w:t>
      </w:r>
      <w:r w:rsidRPr="009F549F">
        <w:rPr>
          <w:rFonts w:eastAsia="Century Schoolbook"/>
          <w:vertAlign w:val="superscript"/>
        </w:rPr>
        <w:footnoteReference w:id="195"/>
      </w:r>
      <w:r w:rsidRPr="009F549F">
        <w:rPr>
          <w:rFonts w:eastAsia="Century Schoolbook"/>
        </w:rPr>
        <w:t xml:space="preserve"> All of this suggests that, although separated</w:t>
      </w:r>
      <w:r w:rsidR="0097792A">
        <w:rPr>
          <w:rFonts w:eastAsia="Century Schoolbook"/>
        </w:rPr>
        <w:t>-</w:t>
      </w:r>
      <w:r w:rsidRPr="009F549F">
        <w:rPr>
          <w:rFonts w:eastAsia="Century Schoolbook"/>
        </w:rPr>
        <w:t xml:space="preserve">accounts regimes can play critical roles in addressing the valuation challenge, they do not suffice on their own.  </w:t>
      </w:r>
    </w:p>
    <w:p w14:paraId="458F6AA8" w14:textId="5E86BA73" w:rsidR="007B1344" w:rsidRPr="009F549F" w:rsidRDefault="002347BA">
      <w:pPr>
        <w:spacing w:before="240" w:after="240"/>
        <w:ind w:firstLine="720"/>
        <w:jc w:val="both"/>
        <w:rPr>
          <w:rFonts w:eastAsia="Century Schoolbook"/>
        </w:rPr>
      </w:pPr>
      <w:r w:rsidRPr="009F549F">
        <w:rPr>
          <w:rFonts w:eastAsia="Century Schoolbook"/>
        </w:rPr>
        <w:t xml:space="preserve">To summarize, all </w:t>
      </w:r>
      <w:r w:rsidR="00EE3850">
        <w:rPr>
          <w:rFonts w:eastAsia="Century Schoolbook"/>
        </w:rPr>
        <w:t xml:space="preserve">of </w:t>
      </w:r>
      <w:r w:rsidRPr="009F549F">
        <w:rPr>
          <w:rFonts w:eastAsia="Century Schoolbook"/>
        </w:rPr>
        <w:t xml:space="preserve">the solutions </w:t>
      </w:r>
      <w:r w:rsidRPr="00036097">
        <w:rPr>
          <w:rFonts w:eastAsia="Century Schoolbook"/>
        </w:rPr>
        <w:t>we</w:t>
      </w:r>
      <w:r w:rsidR="00636F23" w:rsidRPr="00036097">
        <w:rPr>
          <w:rFonts w:eastAsia="Century Schoolbook"/>
        </w:rPr>
        <w:t xml:space="preserve"> ha</w:t>
      </w:r>
      <w:r w:rsidRPr="00036097">
        <w:rPr>
          <w:rFonts w:eastAsia="Century Schoolbook"/>
        </w:rPr>
        <w:t>ve</w:t>
      </w:r>
      <w:r w:rsidRPr="009F549F">
        <w:rPr>
          <w:rFonts w:eastAsia="Century Schoolbook"/>
        </w:rPr>
        <w:t xml:space="preserve"> sketched so far have important gaps but also offer potential in limited cases or as partial components of broader solutions. In the next Part, we put them together, explaining how our proposed ULTRA method makes use of separated accounts—in combination with notional equity interests and an alternative take-it-or-leave</w:t>
      </w:r>
      <w:r w:rsidR="005A4F71" w:rsidRPr="00036097">
        <w:rPr>
          <w:rFonts w:eastAsia="Century Schoolbook"/>
        </w:rPr>
        <w:t>-</w:t>
      </w:r>
      <w:r w:rsidRPr="009F549F">
        <w:rPr>
          <w:rFonts w:eastAsia="Century Schoolbook"/>
        </w:rPr>
        <w:t>it valuation regime—to address the valuation challenge and its related realization and liquidity problems.</w:t>
      </w:r>
    </w:p>
    <w:p w14:paraId="29FB7BAF" w14:textId="77777777" w:rsidR="007B1344" w:rsidRPr="009F549F" w:rsidRDefault="002347BA">
      <w:pPr>
        <w:pStyle w:val="Heading1"/>
        <w:rPr>
          <w:rFonts w:ascii="Times New Roman" w:hAnsi="Times New Roman"/>
          <w:b w:val="0"/>
          <w:smallCaps/>
          <w:sz w:val="24"/>
        </w:rPr>
      </w:pPr>
      <w:r w:rsidRPr="009F549F">
        <w:rPr>
          <w:rFonts w:ascii="Times New Roman" w:hAnsi="Times New Roman"/>
          <w:b w:val="0"/>
          <w:smallCaps/>
          <w:sz w:val="24"/>
        </w:rPr>
        <w:t xml:space="preserve"> </w:t>
      </w:r>
      <w:bookmarkStart w:id="116" w:name="_Toc115088936"/>
      <w:bookmarkStart w:id="117" w:name="_Toc120019832"/>
      <w:r w:rsidRPr="009F549F">
        <w:rPr>
          <w:rFonts w:ascii="Times New Roman" w:hAnsi="Times New Roman"/>
          <w:b w:val="0"/>
          <w:smallCaps/>
          <w:sz w:val="24"/>
        </w:rPr>
        <w:t>III.</w:t>
      </w:r>
      <w:r w:rsidRPr="009F549F">
        <w:rPr>
          <w:rFonts w:ascii="Times New Roman" w:hAnsi="Times New Roman"/>
          <w:b w:val="0"/>
          <w:smallCaps/>
          <w:sz w:val="24"/>
        </w:rPr>
        <w:tab/>
        <w:t>The ULTRA Method</w:t>
      </w:r>
      <w:bookmarkEnd w:id="116"/>
      <w:bookmarkEnd w:id="117"/>
    </w:p>
    <w:p w14:paraId="2FC4BB72" w14:textId="7278941F" w:rsidR="007B1344" w:rsidRPr="009F549F" w:rsidRDefault="002347BA">
      <w:pPr>
        <w:spacing w:before="240" w:after="240"/>
        <w:ind w:firstLine="720"/>
        <w:jc w:val="both"/>
        <w:rPr>
          <w:rFonts w:eastAsia="Century Schoolbook"/>
        </w:rPr>
      </w:pPr>
      <w:r w:rsidRPr="009F549F">
        <w:rPr>
          <w:rFonts w:eastAsia="Century Schoolbook"/>
        </w:rPr>
        <w:t xml:space="preserve">In the previous Part, we explained the strengths and weaknesses of prior solutions to tax valuation challenges and to the related problems of liquidity and realization. This Part explains our unliquidated tax reserve account (“ULTRA”) proposal, a novel hybrid that combines aspects of prior proposed solutions to take advantage of their distinct strengths while minimizing their weaknesses. </w:t>
      </w:r>
      <w:r w:rsidRPr="00036097">
        <w:rPr>
          <w:rFonts w:eastAsia="Century Schoolbook"/>
        </w:rPr>
        <w:t>We</w:t>
      </w:r>
      <w:r w:rsidR="00272271" w:rsidRPr="00036097">
        <w:rPr>
          <w:rFonts w:eastAsia="Century Schoolbook"/>
        </w:rPr>
        <w:t xml:space="preserve"> wi</w:t>
      </w:r>
      <w:r w:rsidRPr="00036097">
        <w:rPr>
          <w:rFonts w:eastAsia="Century Schoolbook"/>
        </w:rPr>
        <w:t>ll</w:t>
      </w:r>
      <w:r w:rsidRPr="009F549F">
        <w:rPr>
          <w:rFonts w:eastAsia="Century Schoolbook"/>
        </w:rPr>
        <w:t xml:space="preserve"> first sketch how an ULTRA works in general </w:t>
      </w:r>
      <w:r w:rsidR="002021CE" w:rsidRPr="00036097">
        <w:rPr>
          <w:rFonts w:eastAsia="Century Schoolbook"/>
        </w:rPr>
        <w:t xml:space="preserve">and </w:t>
      </w:r>
      <w:r w:rsidRPr="009F549F">
        <w:rPr>
          <w:rFonts w:eastAsia="Century Schoolbook"/>
        </w:rPr>
        <w:t>then explain how it advances over prior valuation efforts.</w:t>
      </w:r>
    </w:p>
    <w:p w14:paraId="2957DA35" w14:textId="77777777" w:rsidR="007B1344" w:rsidRPr="009F549F" w:rsidRDefault="002347BA">
      <w:pPr>
        <w:pStyle w:val="Heading2"/>
        <w:rPr>
          <w:rFonts w:ascii="Times New Roman" w:hAnsi="Times New Roman"/>
          <w:i/>
          <w:sz w:val="24"/>
        </w:rPr>
      </w:pPr>
      <w:bookmarkStart w:id="118" w:name="_Toc115088937"/>
      <w:bookmarkStart w:id="119" w:name="_Toc120019833"/>
      <w:r w:rsidRPr="009F549F">
        <w:rPr>
          <w:rFonts w:ascii="Times New Roman" w:hAnsi="Times New Roman"/>
          <w:i/>
          <w:sz w:val="24"/>
        </w:rPr>
        <w:lastRenderedPageBreak/>
        <w:t>A.</w:t>
      </w:r>
      <w:r w:rsidRPr="009F549F">
        <w:rPr>
          <w:rFonts w:ascii="Times New Roman" w:hAnsi="Times New Roman"/>
          <w:i/>
          <w:sz w:val="24"/>
        </w:rPr>
        <w:tab/>
        <w:t>The Basics of the Notional Equity Interest</w:t>
      </w:r>
      <w:bookmarkEnd w:id="118"/>
      <w:bookmarkEnd w:id="119"/>
    </w:p>
    <w:p w14:paraId="2A5AFC45" w14:textId="333F42B2" w:rsidR="007B1344" w:rsidRPr="009F549F" w:rsidRDefault="002347BA">
      <w:pPr>
        <w:spacing w:before="240" w:after="240"/>
        <w:ind w:firstLine="720"/>
        <w:jc w:val="both"/>
        <w:rPr>
          <w:rFonts w:eastAsia="Century Schoolbook"/>
        </w:rPr>
      </w:pPr>
      <w:r w:rsidRPr="009F549F">
        <w:rPr>
          <w:rFonts w:eastAsia="Century Schoolbook"/>
        </w:rPr>
        <w:t xml:space="preserve">As </w:t>
      </w:r>
      <w:r w:rsidR="0005298C">
        <w:rPr>
          <w:rFonts w:ascii="Century Schoolbook" w:eastAsia="Century Schoolbook" w:hAnsi="Century Schoolbook" w:cs="Century Schoolbook"/>
        </w:rPr>
        <w:t>we've</w:t>
      </w:r>
      <w:r w:rsidRPr="009F549F">
        <w:rPr>
          <w:rFonts w:eastAsia="Century Schoolbook"/>
        </w:rPr>
        <w:t xml:space="preserve"> previewed, an ULTRA is essentially a notional equity interest in a taxpayer’s assets</w:t>
      </w:r>
      <w:r w:rsidR="000A0F90">
        <w:rPr>
          <w:rFonts w:eastAsia="Century Schoolbook"/>
        </w:rPr>
        <w:t>, held by the government</w:t>
      </w:r>
      <w:r w:rsidRPr="009F549F">
        <w:rPr>
          <w:rFonts w:eastAsia="Century Schoolbook"/>
        </w:rPr>
        <w:t xml:space="preserve"> That is, the taxing authority has a claim upon a specified percentage of the value of the assets to which an ULTRA is attached. When those assets are sold or otherwise disposed of, the taxpayer must pay the government its share out of the proceeds. Like other notional interests, such as swaps and derivatives, the ULTRA grants no formal ownership or governance rights. Thus, for example, the tax authority cannot vote for directors of a corporation subject to an ULTRA nor invoke corporate</w:t>
      </w:r>
      <w:r w:rsidR="00020C3E" w:rsidRPr="00036097">
        <w:rPr>
          <w:rFonts w:eastAsia="Century Schoolbook"/>
        </w:rPr>
        <w:t xml:space="preserve"> </w:t>
      </w:r>
      <w:r w:rsidRPr="009F549F">
        <w:rPr>
          <w:rFonts w:eastAsia="Century Schoolbook"/>
        </w:rPr>
        <w:t>law doctrines protecting minority shareholders.</w:t>
      </w:r>
    </w:p>
    <w:p w14:paraId="7F8CB4CF" w14:textId="0F2E96BD" w:rsidR="007B1344" w:rsidRPr="009F549F" w:rsidRDefault="000A0F90">
      <w:pPr>
        <w:spacing w:before="240" w:after="240"/>
        <w:ind w:firstLine="720"/>
        <w:jc w:val="both"/>
        <w:rPr>
          <w:rFonts w:eastAsia="Century Schoolbook"/>
        </w:rPr>
      </w:pPr>
      <w:r>
        <w:rPr>
          <w:rFonts w:eastAsia="Century Schoolbook"/>
        </w:rPr>
        <w:t>A</w:t>
      </w:r>
      <w:r w:rsidRPr="00C43C1B">
        <w:rPr>
          <w:rFonts w:eastAsia="Century Schoolbook"/>
        </w:rPr>
        <w:t>lthough ULTRAs do require some compliance burdens, these burdens are similar to what the existing income tax requires for tracking basis and adjusted basis.</w:t>
      </w:r>
      <w:r w:rsidRPr="00C43C1B">
        <w:rPr>
          <w:rFonts w:eastAsia="Century Schoolbook"/>
          <w:vertAlign w:val="superscript"/>
        </w:rPr>
        <w:footnoteReference w:id="196"/>
      </w:r>
      <w:r>
        <w:rPr>
          <w:rFonts w:eastAsia="Century Schoolbook"/>
        </w:rPr>
        <w:t xml:space="preserve"> </w:t>
      </w:r>
      <w:r w:rsidR="002347BA" w:rsidRPr="009F549F">
        <w:rPr>
          <w:rFonts w:eastAsia="Century Schoolbook"/>
        </w:rPr>
        <w:t xml:space="preserve">For most financial assets, </w:t>
      </w:r>
      <w:r>
        <w:rPr>
          <w:rFonts w:eastAsia="Century Schoolbook"/>
        </w:rPr>
        <w:t xml:space="preserve">taxpayers' </w:t>
      </w:r>
      <w:r w:rsidR="002347BA" w:rsidRPr="009F549F">
        <w:rPr>
          <w:rFonts w:eastAsia="Century Schoolbook"/>
        </w:rPr>
        <w:t>brokers could potentially track and report the government’s notional equity interest, just as they now track basis.</w:t>
      </w:r>
      <w:r w:rsidR="002347BA" w:rsidRPr="009F549F">
        <w:rPr>
          <w:rFonts w:eastAsia="Century Schoolbook"/>
          <w:vertAlign w:val="superscript"/>
        </w:rPr>
        <w:footnoteReference w:id="197"/>
      </w:r>
      <w:r w:rsidR="002347BA" w:rsidRPr="009F549F">
        <w:rPr>
          <w:rFonts w:eastAsia="Century Schoolbook"/>
        </w:rPr>
        <w:t xml:space="preserve"> Simplifying rules, such as those used now to ease the burden of tracking basis for individual shares held through mutual funds, could also be applied to the ULTRA.</w:t>
      </w:r>
      <w:r w:rsidR="002347BA" w:rsidRPr="009F549F">
        <w:rPr>
          <w:rFonts w:eastAsia="Century Schoolbook"/>
          <w:vertAlign w:val="superscript"/>
        </w:rPr>
        <w:footnoteReference w:id="198"/>
      </w:r>
      <w:r w:rsidR="002347BA" w:rsidRPr="009F549F">
        <w:rPr>
          <w:rFonts w:eastAsia="Century Schoolbook"/>
        </w:rPr>
        <w:t xml:space="preserve"> </w:t>
      </w:r>
    </w:p>
    <w:p w14:paraId="54016FEB" w14:textId="41EDC333" w:rsidR="007B1344" w:rsidRPr="009F549F" w:rsidRDefault="002347BA">
      <w:pPr>
        <w:spacing w:before="240" w:after="240"/>
        <w:ind w:firstLine="720"/>
        <w:jc w:val="both"/>
        <w:rPr>
          <w:rFonts w:eastAsia="Century Schoolbook"/>
        </w:rPr>
      </w:pPr>
      <w:r w:rsidRPr="009F549F">
        <w:rPr>
          <w:rFonts w:eastAsia="Century Schoolbook"/>
        </w:rPr>
        <w:t xml:space="preserve">Because it may be hard to understand an ULTRA’s operation in the abstract, </w:t>
      </w:r>
      <w:r w:rsidRPr="00036097">
        <w:rPr>
          <w:rFonts w:eastAsia="Century Schoolbook"/>
        </w:rPr>
        <w:t>let</w:t>
      </w:r>
      <w:r w:rsidR="007A684A" w:rsidRPr="00036097">
        <w:rPr>
          <w:rFonts w:eastAsia="Century Schoolbook"/>
        </w:rPr>
        <w:t xml:space="preserve"> u</w:t>
      </w:r>
      <w:r w:rsidRPr="00036097">
        <w:rPr>
          <w:rFonts w:eastAsia="Century Schoolbook"/>
        </w:rPr>
        <w:t>s</w:t>
      </w:r>
      <w:r w:rsidRPr="009F549F">
        <w:rPr>
          <w:rFonts w:eastAsia="Century Schoolbook"/>
        </w:rPr>
        <w:t xml:space="preserve"> consider the example of how an ULTRA could work within the context of an annual 1</w:t>
      </w:r>
      <w:r w:rsidR="007A684A" w:rsidRPr="00036097">
        <w:rPr>
          <w:rFonts w:eastAsia="Century Schoolbook"/>
        </w:rPr>
        <w:t xml:space="preserve"> percent</w:t>
      </w:r>
      <w:r w:rsidRPr="009F549F">
        <w:rPr>
          <w:rFonts w:eastAsia="Century Schoolbook"/>
        </w:rPr>
        <w:t xml:space="preserve"> tax on wealth. We </w:t>
      </w:r>
      <w:r w:rsidR="00C2359E">
        <w:rPr>
          <w:rFonts w:eastAsia="Century Schoolbook"/>
        </w:rPr>
        <w:t>further explain</w:t>
      </w:r>
      <w:r w:rsidRPr="009F549F">
        <w:rPr>
          <w:rFonts w:eastAsia="Century Schoolbook"/>
        </w:rPr>
        <w:t xml:space="preserve"> how an ULTRA might be integrated into a comprehensive wealth</w:t>
      </w:r>
      <w:r w:rsidR="00134364" w:rsidRPr="00036097">
        <w:rPr>
          <w:rFonts w:eastAsia="Century Schoolbook"/>
        </w:rPr>
        <w:t xml:space="preserve"> </w:t>
      </w:r>
      <w:r w:rsidRPr="009F549F">
        <w:rPr>
          <w:rFonts w:eastAsia="Century Schoolbook"/>
        </w:rPr>
        <w:t>tax proposal in the next Part.</w:t>
      </w:r>
    </w:p>
    <w:p w14:paraId="562F7AFD" w14:textId="33156F5F" w:rsidR="007B1344" w:rsidRPr="009F549F" w:rsidRDefault="002347BA">
      <w:pPr>
        <w:spacing w:before="240" w:after="240"/>
        <w:ind w:firstLine="720"/>
        <w:jc w:val="both"/>
        <w:rPr>
          <w:rFonts w:eastAsia="Century Schoolbook"/>
        </w:rPr>
      </w:pPr>
      <w:r w:rsidRPr="009F549F">
        <w:rPr>
          <w:rFonts w:eastAsia="Century Schoolbook"/>
        </w:rPr>
        <w:t>Suppose Shari Shareholder owns $90 million worth of stock in a privately held business. In the first year of the wealth tax, she is subject to a 1</w:t>
      </w:r>
      <w:r w:rsidR="00E25397" w:rsidRPr="00036097">
        <w:rPr>
          <w:rFonts w:eastAsia="Century Schoolbook"/>
        </w:rPr>
        <w:t xml:space="preserve"> percent</w:t>
      </w:r>
      <w:r w:rsidRPr="009F549F">
        <w:rPr>
          <w:rFonts w:eastAsia="Century Schoolbook"/>
        </w:rPr>
        <w:t xml:space="preserve"> tax, or </w:t>
      </w:r>
      <w:r w:rsidRPr="00036097">
        <w:rPr>
          <w:rFonts w:eastAsia="Century Schoolbook"/>
        </w:rPr>
        <w:t>$</w:t>
      </w:r>
      <w:r w:rsidR="00C2359E">
        <w:rPr>
          <w:rFonts w:eastAsia="Century Schoolbook"/>
        </w:rPr>
        <w:t>900,000</w:t>
      </w:r>
      <w:r w:rsidRPr="009F549F">
        <w:rPr>
          <w:rFonts w:eastAsia="Century Schoolbook"/>
        </w:rPr>
        <w:t xml:space="preserve">. However, instead of paying the tax immediately, she grants the </w:t>
      </w:r>
      <w:r w:rsidRPr="009F549F">
        <w:rPr>
          <w:rFonts w:eastAsia="Century Schoolbook"/>
        </w:rPr>
        <w:lastRenderedPageBreak/>
        <w:t>government an ULTRA representing a 1</w:t>
      </w:r>
      <w:r w:rsidR="00E25397" w:rsidRPr="00036097">
        <w:rPr>
          <w:rFonts w:eastAsia="Century Schoolbook"/>
        </w:rPr>
        <w:t xml:space="preserve"> percent</w:t>
      </w:r>
      <w:r w:rsidRPr="009F549F">
        <w:rPr>
          <w:rFonts w:eastAsia="Century Schoolbook"/>
        </w:rPr>
        <w:t xml:space="preserve"> notional interest in the attached stock assets. If the stock ultimately sells two years later for $100 million, Shari will still owe the government, which then would mean a $1 million payment. If the stock instead later sells for only $80 million, she would owe the government only $800,000. In effect, Shari’s </w:t>
      </w:r>
      <w:r w:rsidRPr="00036097">
        <w:rPr>
          <w:rFonts w:eastAsia="Century Schoolbook"/>
        </w:rPr>
        <w:t>$</w:t>
      </w:r>
      <w:r w:rsidR="000876D1">
        <w:rPr>
          <w:rFonts w:eastAsia="Century Schoolbook"/>
        </w:rPr>
        <w:t>900,000</w:t>
      </w:r>
      <w:r w:rsidRPr="009F549F">
        <w:rPr>
          <w:rFonts w:eastAsia="Century Schoolbook"/>
        </w:rPr>
        <w:t xml:space="preserve"> tax bill will grow at exactly the rate of return earned by the assets to which the ULTRA is attached, even if that rate is negative. It is in this sense that we say that the ULTRA represents a notional equity interest.</w:t>
      </w:r>
    </w:p>
    <w:p w14:paraId="768E15F9" w14:textId="092F74E1" w:rsidR="007B1344" w:rsidRPr="009F549F" w:rsidRDefault="002347BA">
      <w:pPr>
        <w:spacing w:before="240" w:after="240"/>
        <w:ind w:firstLine="720"/>
        <w:jc w:val="both"/>
        <w:rPr>
          <w:rFonts w:eastAsia="Century Schoolbook"/>
        </w:rPr>
      </w:pPr>
      <w:r w:rsidRPr="009F549F">
        <w:rPr>
          <w:rFonts w:eastAsia="Century Schoolbook"/>
        </w:rPr>
        <w:t>In the case of a recurring tax like an annually assessed wealth tax, the government’s ULTRA interest would then be adjusted on an ongoing basis to account for the recurring tax assessments. For instance, if Shari holds her stock into year two, there is now another 1</w:t>
      </w:r>
      <w:r w:rsidR="00B057B2" w:rsidRPr="00036097">
        <w:rPr>
          <w:rFonts w:eastAsia="Century Schoolbook"/>
        </w:rPr>
        <w:t xml:space="preserve"> percent</w:t>
      </w:r>
      <w:r w:rsidRPr="009F549F">
        <w:rPr>
          <w:rFonts w:eastAsia="Century Schoolbook"/>
        </w:rPr>
        <w:t xml:space="preserve"> wealth tax assessment, paid with an addition to the notional equity interest owed to the government. With a small bit of math, we can calculate the government’s overall share that represents the two years’ worth of tax assessments. Specifically, the notional equity interest owed to the government would increase by applying the 1</w:t>
      </w:r>
      <w:r w:rsidR="00B057B2" w:rsidRPr="00036097">
        <w:rPr>
          <w:rFonts w:eastAsia="Century Schoolbook"/>
        </w:rPr>
        <w:t xml:space="preserve"> percent</w:t>
      </w:r>
      <w:r w:rsidRPr="009F549F">
        <w:rPr>
          <w:rFonts w:eastAsia="Century Schoolbook"/>
        </w:rPr>
        <w:t xml:space="preserve"> tax rate for year </w:t>
      </w:r>
      <w:r w:rsidR="000F4C37" w:rsidRPr="00036097">
        <w:rPr>
          <w:rFonts w:eastAsia="Century Schoolbook"/>
        </w:rPr>
        <w:t>two</w:t>
      </w:r>
      <w:r w:rsidRPr="009F549F">
        <w:rPr>
          <w:rFonts w:eastAsia="Century Schoolbook"/>
        </w:rPr>
        <w:t xml:space="preserve"> to the 99</w:t>
      </w:r>
      <w:r w:rsidR="00B057B2" w:rsidRPr="00036097">
        <w:rPr>
          <w:rFonts w:eastAsia="Century Schoolbook"/>
        </w:rPr>
        <w:t xml:space="preserve"> percent</w:t>
      </w:r>
      <w:r w:rsidRPr="009F549F">
        <w:rPr>
          <w:rFonts w:eastAsia="Century Schoolbook"/>
        </w:rPr>
        <w:t xml:space="preserve"> of the notional equity interest retained by the taxpayer, for a total of 1.99</w:t>
      </w:r>
      <w:r w:rsidR="00AB2064" w:rsidRPr="00036097">
        <w:rPr>
          <w:rFonts w:eastAsia="Century Schoolbook"/>
        </w:rPr>
        <w:t xml:space="preserve"> percent</w:t>
      </w:r>
      <w:r w:rsidRPr="009F549F">
        <w:rPr>
          <w:rFonts w:eastAsia="Century Schoolbook"/>
        </w:rPr>
        <w:t>.</w:t>
      </w:r>
      <w:r w:rsidRPr="009F549F">
        <w:rPr>
          <w:rFonts w:eastAsia="Century Schoolbook"/>
          <w:vertAlign w:val="superscript"/>
        </w:rPr>
        <w:footnoteReference w:id="199"/>
      </w:r>
    </w:p>
    <w:p w14:paraId="43EDD809" w14:textId="275C6947" w:rsidR="007B1344" w:rsidRPr="009F549F" w:rsidRDefault="002347BA">
      <w:pPr>
        <w:spacing w:before="240" w:after="240"/>
        <w:ind w:firstLine="720"/>
        <w:jc w:val="both"/>
        <w:rPr>
          <w:rFonts w:eastAsia="Century Schoolbook"/>
        </w:rPr>
      </w:pPr>
      <w:r w:rsidRPr="009F549F">
        <w:rPr>
          <w:rFonts w:eastAsia="Century Schoolbook"/>
        </w:rPr>
        <w:t xml:space="preserve">To continue the example, </w:t>
      </w:r>
      <w:r w:rsidR="000A0F90">
        <w:rPr>
          <w:rFonts w:ascii="Century Schoolbook" w:eastAsia="Century Schoolbook" w:hAnsi="Century Schoolbook" w:cs="Century Schoolbook"/>
        </w:rPr>
        <w:t>let's</w:t>
      </w:r>
      <w:r w:rsidRPr="009F549F">
        <w:rPr>
          <w:rFonts w:eastAsia="Century Schoolbook"/>
        </w:rPr>
        <w:t xml:space="preserve"> say that Shari continues holding her shares with the ULTRA attached until she sells all of the shares for $100 million of cash at the beginning of year</w:t>
      </w:r>
      <w:r w:rsidR="000F4C37" w:rsidRPr="00036097">
        <w:rPr>
          <w:rFonts w:eastAsia="Century Schoolbook"/>
        </w:rPr>
        <w:t xml:space="preserve"> five</w:t>
      </w:r>
      <w:r w:rsidRPr="009F549F">
        <w:rPr>
          <w:rFonts w:eastAsia="Century Schoolbook"/>
        </w:rPr>
        <w:t>. The government would then be entitled to 3.9404</w:t>
      </w:r>
      <w:r w:rsidR="00AB2064" w:rsidRPr="00036097">
        <w:rPr>
          <w:rFonts w:eastAsia="Century Schoolbook"/>
        </w:rPr>
        <w:t xml:space="preserve"> percent</w:t>
      </w:r>
      <w:r w:rsidRPr="009F549F">
        <w:rPr>
          <w:rFonts w:eastAsia="Century Schoolbook"/>
        </w:rPr>
        <w:t xml:space="preserve"> of the value of that cash sale—$3,940,400—reflecting the government’s notional equity interest in the shares at that time.</w:t>
      </w:r>
      <w:r w:rsidRPr="009F549F">
        <w:rPr>
          <w:rFonts w:eastAsia="Century Schoolbook"/>
          <w:vertAlign w:val="superscript"/>
        </w:rPr>
        <w:footnoteReference w:id="200"/>
      </w:r>
    </w:p>
    <w:p w14:paraId="16859E60" w14:textId="0A7BC280" w:rsidR="007B1344" w:rsidRPr="009F549F" w:rsidRDefault="002347BA">
      <w:pPr>
        <w:pStyle w:val="Heading2"/>
        <w:rPr>
          <w:rFonts w:ascii="Times New Roman" w:hAnsi="Times New Roman"/>
          <w:i/>
          <w:sz w:val="24"/>
        </w:rPr>
      </w:pPr>
      <w:bookmarkStart w:id="120" w:name="_Ref119431830"/>
      <w:bookmarkStart w:id="121" w:name="_Toc115088938"/>
      <w:bookmarkStart w:id="122" w:name="_Toc120019834"/>
      <w:r w:rsidRPr="009F549F">
        <w:rPr>
          <w:rFonts w:ascii="Times New Roman" w:hAnsi="Times New Roman"/>
          <w:i/>
          <w:sz w:val="24"/>
        </w:rPr>
        <w:lastRenderedPageBreak/>
        <w:t xml:space="preserve">B. </w:t>
      </w:r>
      <w:r w:rsidR="00B3232C" w:rsidRPr="009F549F">
        <w:rPr>
          <w:rFonts w:ascii="Times New Roman" w:hAnsi="Times New Roman"/>
          <w:i/>
          <w:sz w:val="24"/>
        </w:rPr>
        <w:t>The Scope of the Deferral Option</w:t>
      </w:r>
      <w:bookmarkEnd w:id="120"/>
      <w:bookmarkEnd w:id="121"/>
      <w:bookmarkEnd w:id="122"/>
    </w:p>
    <w:p w14:paraId="1F1978D5" w14:textId="25E32D2E" w:rsidR="007B1344" w:rsidRPr="009F549F" w:rsidRDefault="002347BA">
      <w:pPr>
        <w:spacing w:before="240" w:after="240"/>
        <w:ind w:firstLine="720"/>
        <w:jc w:val="both"/>
        <w:rPr>
          <w:rFonts w:eastAsia="Century Schoolbook"/>
        </w:rPr>
      </w:pPr>
      <w:r w:rsidRPr="009F549F">
        <w:rPr>
          <w:rFonts w:eastAsia="Century Schoolbook"/>
        </w:rPr>
        <w:t>The ULTRA solution should not necessarily be applied to all of a taxpayer’s assets but rather only to designated assets for which the combination of valuation and liquidity challenges justifies departing from the background valuation rules of the tax system. In other words, the ULTRA solution can be used as a plug for tax valuation holes</w:t>
      </w:r>
      <w:r w:rsidR="000876D1">
        <w:rPr>
          <w:rFonts w:eastAsia="Century Schoolbook"/>
        </w:rPr>
        <w:t>—that is,</w:t>
      </w:r>
      <w:r w:rsidRPr="009F549F">
        <w:rPr>
          <w:rFonts w:eastAsia="Century Schoolbook"/>
        </w:rPr>
        <w:t xml:space="preserve"> for when the background valuation rules of the tax system would be inadequate. Although the ULTRA solution could potentially be used as a universal valuation mechanism, we think that its most promising applications are to supplement and backstop prior valuation solutions.</w:t>
      </w:r>
    </w:p>
    <w:p w14:paraId="2F3D4072" w14:textId="752A661E" w:rsidR="007B1344" w:rsidRPr="009F549F" w:rsidRDefault="00562EA3" w:rsidP="0038099E">
      <w:pPr>
        <w:spacing w:before="240" w:after="240"/>
        <w:ind w:firstLine="720"/>
        <w:jc w:val="both"/>
        <w:rPr>
          <w:rFonts w:eastAsia="Century Schoolbook"/>
        </w:rPr>
      </w:pPr>
      <w:r>
        <w:rPr>
          <w:rFonts w:eastAsia="Century Schoolbook"/>
        </w:rPr>
        <w:t>Thus, w</w:t>
      </w:r>
      <w:r w:rsidR="000A0F90">
        <w:rPr>
          <w:rFonts w:eastAsia="Century Schoolbook"/>
        </w:rPr>
        <w:t>e would limit deferral under an ULTRA system by requiring taxpayers to make prepayments of some of what they will eventually owe.</w:t>
      </w:r>
      <w:r>
        <w:rPr>
          <w:rFonts w:eastAsia="Century Schoolbook"/>
        </w:rPr>
        <w:t xml:space="preserve"> </w:t>
      </w:r>
      <w:r w:rsidRPr="00C43C1B">
        <w:rPr>
          <w:rFonts w:eastAsia="Century Schoolbook"/>
        </w:rPr>
        <w:t xml:space="preserve">As we will elaborate below, the primary reason </w:t>
      </w:r>
      <w:r>
        <w:rPr>
          <w:rFonts w:eastAsia="Century Schoolbook"/>
        </w:rPr>
        <w:t>to</w:t>
      </w:r>
      <w:r w:rsidRPr="00036097">
        <w:rPr>
          <w:rFonts w:eastAsia="Century Schoolbook"/>
        </w:rPr>
        <w:t xml:space="preserve"> requir</w:t>
      </w:r>
      <w:r>
        <w:rPr>
          <w:rFonts w:eastAsia="Century Schoolbook"/>
        </w:rPr>
        <w:t>e</w:t>
      </w:r>
      <w:r w:rsidRPr="00C43C1B">
        <w:rPr>
          <w:rFonts w:eastAsia="Century Schoolbook"/>
        </w:rPr>
        <w:t xml:space="preserve"> estimated prepayment of taxes is to mitigate political optionality concerns.</w:t>
      </w:r>
      <w:r w:rsidRPr="00C43C1B">
        <w:rPr>
          <w:rFonts w:eastAsia="Century Schoolbook"/>
          <w:vertAlign w:val="superscript"/>
        </w:rPr>
        <w:footnoteReference w:id="201"/>
      </w:r>
      <w:r w:rsidRPr="00C43C1B">
        <w:rPr>
          <w:rFonts w:eastAsia="Century Schoolbook"/>
        </w:rPr>
        <w:t xml:space="preserve"> </w:t>
      </w:r>
      <w:r>
        <w:rPr>
          <w:rFonts w:eastAsia="Century Schoolbook"/>
        </w:rPr>
        <w:t xml:space="preserve">For some taxpayers, admittedly, the combination of liquidity and valuation challenges will make prepayments difficult. </w:t>
      </w:r>
      <w:r w:rsidRPr="00C43C1B">
        <w:rPr>
          <w:rFonts w:eastAsia="Century Schoolbook"/>
        </w:rPr>
        <w:t>To the extent that both valuation and liquidity challenges justify departing from the background rules of the tax system, the ULTRA method can permit taxpayers to defer making any cash tax payments until such time as the assets to which the ULTRA is attached are sold or otherwise withdrawn from the ULTRA.</w:t>
      </w:r>
      <w:r w:rsidRPr="00C43C1B">
        <w:rPr>
          <w:rFonts w:eastAsia="Century Schoolbook"/>
          <w:vertAlign w:val="superscript"/>
        </w:rPr>
        <w:footnoteReference w:id="202"/>
      </w:r>
      <w:r w:rsidRPr="00C43C1B">
        <w:rPr>
          <w:rFonts w:eastAsia="Century Schoolbook"/>
        </w:rPr>
        <w:t xml:space="preserve"> However, for taxpayers who do not face major liquidity challenges, such that the use of the ULTRA is justified primarily based on valuation challenges</w:t>
      </w:r>
      <w:r>
        <w:rPr>
          <w:rFonts w:eastAsia="Century Schoolbook"/>
        </w:rPr>
        <w:t xml:space="preserve"> alone</w:t>
      </w:r>
      <w:r w:rsidRPr="00C43C1B">
        <w:rPr>
          <w:rFonts w:eastAsia="Century Schoolbook"/>
        </w:rPr>
        <w:t>, it may be preferable to require prepayment of estimated taxes.</w:t>
      </w:r>
      <w:r>
        <w:rPr>
          <w:rFonts w:eastAsia="Century Schoolbook"/>
        </w:rPr>
        <w:t xml:space="preserve"> </w:t>
      </w:r>
      <w:r w:rsidRPr="00C43C1B">
        <w:rPr>
          <w:rFonts w:eastAsia="Century Schoolbook"/>
        </w:rPr>
        <w:t>Indeed, for some forms of taxation—such as</w:t>
      </w:r>
      <w:r w:rsidRPr="00036097">
        <w:rPr>
          <w:rFonts w:eastAsia="Century Schoolbook"/>
        </w:rPr>
        <w:t>,</w:t>
      </w:r>
      <w:r w:rsidRPr="00C43C1B">
        <w:rPr>
          <w:rFonts w:eastAsia="Century Schoolbook"/>
        </w:rPr>
        <w:t xml:space="preserve"> perhaps</w:t>
      </w:r>
      <w:r w:rsidRPr="00036097">
        <w:rPr>
          <w:rFonts w:eastAsia="Century Schoolbook"/>
        </w:rPr>
        <w:t>,</w:t>
      </w:r>
      <w:r w:rsidRPr="00C43C1B">
        <w:rPr>
          <w:rFonts w:eastAsia="Century Schoolbook"/>
        </w:rPr>
        <w:t xml:space="preserve"> for wealth taxes applied only to extremely wealthy taxpayers—it could be argued that no taxpayers truly face major liquidity challenges, such that all taxpayers should arguably be required to make estimated prepayments of taxes. </w:t>
      </w:r>
    </w:p>
    <w:p w14:paraId="5BDE30AD" w14:textId="564C4BD6" w:rsidR="007B1344" w:rsidRPr="009F549F" w:rsidRDefault="00562EA3">
      <w:pPr>
        <w:spacing w:before="240" w:after="240"/>
        <w:ind w:firstLine="720"/>
        <w:jc w:val="both"/>
        <w:rPr>
          <w:rFonts w:eastAsia="Century Schoolbook"/>
        </w:rPr>
      </w:pPr>
      <w:r>
        <w:rPr>
          <w:rFonts w:eastAsia="Century Schoolbook"/>
        </w:rPr>
        <w:lastRenderedPageBreak/>
        <w:t xml:space="preserve">To implement prepayment, we suggest the tax system would </w:t>
      </w:r>
      <w:r w:rsidR="002347BA" w:rsidRPr="009F549F">
        <w:rPr>
          <w:rFonts w:eastAsia="Century Schoolbook"/>
        </w:rPr>
        <w:t xml:space="preserve">calculate a taxpayer’s prepayment tax liabilities through a simplified valuation regime and then give the taxpayer credit for these prepaid taxes against future tax liabilities upon withdrawals or dispositions from the ULTRA. </w:t>
      </w:r>
      <w:r w:rsidR="009859DB" w:rsidRPr="00036097">
        <w:rPr>
          <w:rFonts w:eastAsia="Century Schoolbook"/>
        </w:rPr>
        <w:t>C</w:t>
      </w:r>
      <w:r w:rsidR="002347BA" w:rsidRPr="009F549F">
        <w:rPr>
          <w:rFonts w:eastAsia="Century Schoolbook"/>
        </w:rPr>
        <w:t xml:space="preserve">onsider the example above where Shari Shareholder holds her shares with an ULTRA attached until she sells all of the shares for $100 million of cash at the beginning of year </w:t>
      </w:r>
      <w:r w:rsidR="009859DB" w:rsidRPr="00036097">
        <w:rPr>
          <w:rFonts w:eastAsia="Century Schoolbook"/>
        </w:rPr>
        <w:t>five</w:t>
      </w:r>
      <w:r w:rsidR="002347BA" w:rsidRPr="009F549F">
        <w:rPr>
          <w:rFonts w:eastAsia="Century Schoolbook"/>
        </w:rPr>
        <w:t xml:space="preserve">. If Shari faced liquidity challenges </w:t>
      </w:r>
      <w:r w:rsidR="00652DCF">
        <w:rPr>
          <w:rFonts w:eastAsia="Century Schoolbook"/>
        </w:rPr>
        <w:t xml:space="preserve">substantial enough </w:t>
      </w:r>
      <w:r w:rsidR="002347BA" w:rsidRPr="009F549F">
        <w:rPr>
          <w:rFonts w:eastAsia="Century Schoolbook"/>
        </w:rPr>
        <w:t xml:space="preserve">to absolve her of the prepayment requirements, she would pay no tax until year </w:t>
      </w:r>
      <w:r w:rsidR="009859DB" w:rsidRPr="00036097">
        <w:rPr>
          <w:rFonts w:eastAsia="Century Schoolbook"/>
        </w:rPr>
        <w:t>five</w:t>
      </w:r>
      <w:r w:rsidR="002347BA" w:rsidRPr="009F549F">
        <w:rPr>
          <w:rFonts w:eastAsia="Century Schoolbook"/>
        </w:rPr>
        <w:t xml:space="preserve"> and would then owe the entire $3,940,400 tax liability in year </w:t>
      </w:r>
      <w:r w:rsidR="009859DB" w:rsidRPr="00036097">
        <w:rPr>
          <w:rFonts w:eastAsia="Century Schoolbook"/>
        </w:rPr>
        <w:t>five</w:t>
      </w:r>
      <w:r w:rsidR="002347BA" w:rsidRPr="009F549F">
        <w:rPr>
          <w:rFonts w:eastAsia="Century Schoolbook"/>
        </w:rPr>
        <w:t>.</w:t>
      </w:r>
    </w:p>
    <w:p w14:paraId="75FE3FD3" w14:textId="5B91D587" w:rsidR="007B1344" w:rsidRDefault="002347BA">
      <w:pPr>
        <w:spacing w:before="240" w:after="240"/>
        <w:ind w:firstLine="720"/>
        <w:jc w:val="both"/>
        <w:rPr>
          <w:rFonts w:eastAsia="Century Schoolbook"/>
        </w:rPr>
      </w:pPr>
      <w:r w:rsidRPr="009F549F">
        <w:rPr>
          <w:rFonts w:eastAsia="Century Schoolbook"/>
        </w:rPr>
        <w:t xml:space="preserve">By contrast, consider if Shari were required to make prepayments of estimated taxes in years </w:t>
      </w:r>
      <w:r w:rsidR="009859DB" w:rsidRPr="00036097">
        <w:rPr>
          <w:rFonts w:eastAsia="Century Schoolbook"/>
        </w:rPr>
        <w:t>one</w:t>
      </w:r>
      <w:r w:rsidRPr="009F549F">
        <w:rPr>
          <w:rFonts w:eastAsia="Century Schoolbook"/>
        </w:rPr>
        <w:t xml:space="preserve"> through </w:t>
      </w:r>
      <w:r w:rsidR="009859DB" w:rsidRPr="00036097">
        <w:rPr>
          <w:rFonts w:eastAsia="Century Schoolbook"/>
        </w:rPr>
        <w:t>four</w:t>
      </w:r>
      <w:r w:rsidRPr="009F549F">
        <w:rPr>
          <w:rFonts w:eastAsia="Century Schoolbook"/>
        </w:rPr>
        <w:t>. For instance, consider if the simplified valuation regime required annual estimated prepayments of $</w:t>
      </w:r>
      <w:r w:rsidR="00652DCF">
        <w:rPr>
          <w:rFonts w:eastAsia="Century Schoolbook"/>
        </w:rPr>
        <w:t>900,000</w:t>
      </w:r>
      <w:r w:rsidRPr="009F549F">
        <w:rPr>
          <w:rFonts w:eastAsia="Century Schoolbook"/>
        </w:rPr>
        <w:t xml:space="preserve"> (the 1</w:t>
      </w:r>
      <w:r w:rsidR="009859DB" w:rsidRPr="00036097">
        <w:rPr>
          <w:rFonts w:eastAsia="Century Schoolbook"/>
        </w:rPr>
        <w:t xml:space="preserve"> percent</w:t>
      </w:r>
      <w:r w:rsidRPr="009F549F">
        <w:rPr>
          <w:rFonts w:eastAsia="Century Schoolbook"/>
        </w:rPr>
        <w:t xml:space="preserve"> annual wealth tax rate multiplied by the initial valuation estimate of $</w:t>
      </w:r>
      <w:r w:rsidRPr="00036097">
        <w:rPr>
          <w:rFonts w:eastAsia="Century Schoolbook"/>
        </w:rPr>
        <w:t>90</w:t>
      </w:r>
      <w:r w:rsidR="009859DB" w:rsidRPr="00036097">
        <w:rPr>
          <w:rFonts w:eastAsia="Century Schoolbook"/>
        </w:rPr>
        <w:t xml:space="preserve"> million</w:t>
      </w:r>
      <w:r w:rsidRPr="009F549F">
        <w:rPr>
          <w:rFonts w:eastAsia="Century Schoolbook"/>
        </w:rPr>
        <w:t>). Then, Shari would have paid a total of $3.</w:t>
      </w:r>
      <w:r w:rsidRPr="00036097">
        <w:rPr>
          <w:rFonts w:eastAsia="Century Schoolbook"/>
        </w:rPr>
        <w:t>6</w:t>
      </w:r>
      <w:r w:rsidR="009859DB" w:rsidRPr="00036097">
        <w:rPr>
          <w:rFonts w:eastAsia="Century Schoolbook"/>
        </w:rPr>
        <w:t xml:space="preserve"> million</w:t>
      </w:r>
      <w:r w:rsidRPr="009F549F">
        <w:rPr>
          <w:rFonts w:eastAsia="Century Schoolbook"/>
        </w:rPr>
        <w:t xml:space="preserve"> in estimated prepayment taxes by the beginning of year </w:t>
      </w:r>
      <w:r w:rsidR="009859DB" w:rsidRPr="00036097">
        <w:rPr>
          <w:rFonts w:eastAsia="Century Schoolbook"/>
        </w:rPr>
        <w:t>five</w:t>
      </w:r>
      <w:r w:rsidRPr="009F549F">
        <w:rPr>
          <w:rFonts w:eastAsia="Century Schoolbook"/>
        </w:rPr>
        <w:t xml:space="preserve"> (four times $</w:t>
      </w:r>
      <w:r w:rsidR="00652DCF">
        <w:rPr>
          <w:rFonts w:eastAsia="Century Schoolbook"/>
        </w:rPr>
        <w:t>900,000</w:t>
      </w:r>
      <w:r w:rsidRPr="00036097">
        <w:rPr>
          <w:rFonts w:eastAsia="Century Schoolbook"/>
        </w:rPr>
        <w:t>).</w:t>
      </w:r>
      <w:r w:rsidRPr="009F549F">
        <w:rPr>
          <w:rFonts w:eastAsia="Century Schoolbook"/>
        </w:rPr>
        <w:t xml:space="preserve"> Giving her credit for this </w:t>
      </w:r>
      <w:r w:rsidR="00562EA3">
        <w:rPr>
          <w:rFonts w:eastAsia="Century Schoolbook"/>
        </w:rPr>
        <w:t xml:space="preserve">amount </w:t>
      </w:r>
      <w:r w:rsidRPr="009F549F">
        <w:rPr>
          <w:rFonts w:eastAsia="Century Schoolbook"/>
        </w:rPr>
        <w:t xml:space="preserve">against her $3,940,400 tax liability from selling all of her shares in year </w:t>
      </w:r>
      <w:r w:rsidR="009859DB" w:rsidRPr="00036097">
        <w:rPr>
          <w:rFonts w:eastAsia="Century Schoolbook"/>
        </w:rPr>
        <w:t>five</w:t>
      </w:r>
      <w:r w:rsidRPr="009F549F">
        <w:rPr>
          <w:rFonts w:eastAsia="Century Schoolbook"/>
        </w:rPr>
        <w:t xml:space="preserve"> would yield a net tax liability in that year of $340,000. (Conversely, if the shares declined in value and were sold for less than $</w:t>
      </w:r>
      <w:r w:rsidRPr="00036097">
        <w:rPr>
          <w:rFonts w:eastAsia="Century Schoolbook"/>
        </w:rPr>
        <w:t>90</w:t>
      </w:r>
      <w:r w:rsidR="009859DB" w:rsidRPr="00036097">
        <w:rPr>
          <w:rFonts w:eastAsia="Century Schoolbook"/>
        </w:rPr>
        <w:t xml:space="preserve"> million</w:t>
      </w:r>
      <w:r w:rsidRPr="009F549F">
        <w:rPr>
          <w:rFonts w:eastAsia="Century Schoolbook"/>
        </w:rPr>
        <w:t xml:space="preserve">, Shari should be entitled to a refund of a portion of her prepayments.)  </w:t>
      </w:r>
    </w:p>
    <w:p w14:paraId="12C1A193" w14:textId="6DA9B9C5" w:rsidR="00562EA3" w:rsidRPr="009F549F" w:rsidRDefault="00562EA3">
      <w:pPr>
        <w:spacing w:before="240" w:after="240"/>
        <w:ind w:firstLine="720"/>
        <w:jc w:val="both"/>
        <w:rPr>
          <w:rFonts w:eastAsia="Century Schoolbook"/>
        </w:rPr>
      </w:pPr>
      <w:r>
        <w:rPr>
          <w:rFonts w:eastAsia="Century Schoolbook"/>
        </w:rPr>
        <w:t>These</w:t>
      </w:r>
      <w:r w:rsidRPr="00C43C1B">
        <w:rPr>
          <w:rFonts w:eastAsia="Century Schoolbook"/>
        </w:rPr>
        <w:t xml:space="preserve"> rules for tracking estimated prepayments of taxes </w:t>
      </w:r>
      <w:r>
        <w:rPr>
          <w:rFonts w:eastAsia="Century Schoolbook"/>
        </w:rPr>
        <w:t>are</w:t>
      </w:r>
      <w:r w:rsidRPr="00C43C1B">
        <w:rPr>
          <w:rFonts w:eastAsia="Century Schoolbook"/>
        </w:rPr>
        <w:t xml:space="preserve"> also helpful for resolving issues related to contributions, partial withdrawals, and deemed withdrawals, as we will </w:t>
      </w:r>
      <w:r>
        <w:rPr>
          <w:rFonts w:eastAsia="Century Schoolbook"/>
        </w:rPr>
        <w:t xml:space="preserve">now </w:t>
      </w:r>
      <w:r w:rsidRPr="00C43C1B">
        <w:rPr>
          <w:rFonts w:eastAsia="Century Schoolbook"/>
        </w:rPr>
        <w:t>explain.</w:t>
      </w:r>
    </w:p>
    <w:p w14:paraId="73ABE3B8" w14:textId="77777777" w:rsidR="007B1344" w:rsidRPr="009F549F" w:rsidRDefault="002347BA">
      <w:pPr>
        <w:pStyle w:val="Heading2"/>
        <w:rPr>
          <w:rFonts w:ascii="Times New Roman" w:hAnsi="Times New Roman"/>
          <w:i/>
          <w:sz w:val="24"/>
        </w:rPr>
      </w:pPr>
      <w:bookmarkStart w:id="123" w:name="_Ref119431504"/>
      <w:bookmarkStart w:id="124" w:name="_Toc115088939"/>
      <w:bookmarkStart w:id="125" w:name="_Toc120019835"/>
      <w:r w:rsidRPr="009F549F">
        <w:rPr>
          <w:rFonts w:ascii="Times New Roman" w:hAnsi="Times New Roman"/>
          <w:i/>
          <w:sz w:val="24"/>
        </w:rPr>
        <w:t>C. Contributions, Partial Withdrawals, and Deemed Withdrawals</w:t>
      </w:r>
      <w:bookmarkEnd w:id="123"/>
      <w:bookmarkEnd w:id="124"/>
      <w:bookmarkEnd w:id="125"/>
    </w:p>
    <w:p w14:paraId="244C05C7" w14:textId="77777777" w:rsidR="007B1344" w:rsidRPr="009F549F" w:rsidRDefault="002347BA">
      <w:pPr>
        <w:spacing w:before="240" w:after="240"/>
        <w:ind w:firstLine="720"/>
        <w:jc w:val="both"/>
        <w:rPr>
          <w:rFonts w:eastAsia="Century Schoolbook"/>
        </w:rPr>
      </w:pPr>
      <w:r w:rsidRPr="009F549F">
        <w:rPr>
          <w:rFonts w:eastAsia="Century Schoolbook"/>
        </w:rPr>
        <w:t xml:space="preserve">A challenging issue for any tax system with realization-based or retrospective rules is how to treat additional investments into or divestments from assets subject to those tax rules. For instance, if a stock pays dividends, how should those dividends affect the eventual tax upon final sale of the stock? A key virtue of our ULTRA proposal over prior solutions is that, at any given point in time, there will be a single percentage figure for the government’s notional equity interest in the assets to which the ULTRA is attached. This feature can be used to resolve the </w:t>
      </w:r>
      <w:r w:rsidRPr="009F549F">
        <w:rPr>
          <w:rFonts w:eastAsia="Century Schoolbook"/>
        </w:rPr>
        <w:lastRenderedPageBreak/>
        <w:t>issues that would otherwise be caused by interim contributions, withdrawals, and deemed withdrawals.</w:t>
      </w:r>
    </w:p>
    <w:p w14:paraId="1386678E" w14:textId="5189883D" w:rsidR="007B1344" w:rsidRPr="009F549F" w:rsidRDefault="002347BA">
      <w:pPr>
        <w:spacing w:before="240" w:after="240"/>
        <w:ind w:firstLine="720"/>
        <w:jc w:val="both"/>
        <w:rPr>
          <w:rFonts w:eastAsia="Century Schoolbook"/>
        </w:rPr>
      </w:pPr>
      <w:r w:rsidRPr="009F549F">
        <w:rPr>
          <w:rFonts w:eastAsia="Century Schoolbook"/>
        </w:rPr>
        <w:t xml:space="preserve">To illustrate, </w:t>
      </w:r>
      <w:r w:rsidRPr="00036097">
        <w:rPr>
          <w:rFonts w:eastAsia="Century Schoolbook"/>
        </w:rPr>
        <w:t>let</w:t>
      </w:r>
      <w:r w:rsidR="00134364" w:rsidRPr="00036097">
        <w:rPr>
          <w:rFonts w:eastAsia="Century Schoolbook"/>
        </w:rPr>
        <w:t xml:space="preserve"> u</w:t>
      </w:r>
      <w:r w:rsidRPr="00036097">
        <w:rPr>
          <w:rFonts w:eastAsia="Century Schoolbook"/>
        </w:rPr>
        <w:t>s</w:t>
      </w:r>
      <w:r w:rsidRPr="009F549F">
        <w:rPr>
          <w:rFonts w:eastAsia="Century Schoolbook"/>
        </w:rPr>
        <w:t xml:space="preserve"> say that, at the beginning of year</w:t>
      </w:r>
      <w:r w:rsidR="00134364" w:rsidRPr="00036097">
        <w:rPr>
          <w:rFonts w:eastAsia="Century Schoolbook"/>
        </w:rPr>
        <w:t xml:space="preserve"> three</w:t>
      </w:r>
      <w:r w:rsidRPr="009F549F">
        <w:rPr>
          <w:rFonts w:eastAsia="Century Schoolbook"/>
        </w:rPr>
        <w:t xml:space="preserve">, Shari </w:t>
      </w:r>
      <w:r w:rsidR="00B60820" w:rsidRPr="009F549F">
        <w:rPr>
          <w:rFonts w:eastAsia="Century Schoolbook"/>
        </w:rPr>
        <w:t>w</w:t>
      </w:r>
      <w:r w:rsidR="00B60820">
        <w:rPr>
          <w:rFonts w:eastAsia="Century Schoolbook"/>
        </w:rPr>
        <w:t>ere</w:t>
      </w:r>
      <w:r w:rsidR="00B60820" w:rsidRPr="009F549F">
        <w:rPr>
          <w:rFonts w:eastAsia="Century Schoolbook"/>
        </w:rPr>
        <w:t xml:space="preserve"> </w:t>
      </w:r>
      <w:r w:rsidRPr="009F549F">
        <w:rPr>
          <w:rFonts w:eastAsia="Century Schoolbook"/>
        </w:rPr>
        <w:t xml:space="preserve">to contribute an additional $10 million of cash to the privately held business whose stock is subject to her ULTRA. This should presumably increase the value of her shares. If we were to treat this $10 million increase in value the same as any other appreciation in the business’s value, it would be overtaxed. That is, in year </w:t>
      </w:r>
      <w:r w:rsidR="00134364" w:rsidRPr="00036097">
        <w:rPr>
          <w:rFonts w:eastAsia="Century Schoolbook"/>
        </w:rPr>
        <w:t>five</w:t>
      </w:r>
      <w:r w:rsidRPr="009F549F">
        <w:rPr>
          <w:rFonts w:eastAsia="Century Schoolbook"/>
        </w:rPr>
        <w:t xml:space="preserve"> when the stock was sold, government would claim 3.9404</w:t>
      </w:r>
      <w:r w:rsidR="00134364" w:rsidRPr="00036097">
        <w:rPr>
          <w:rFonts w:eastAsia="Century Schoolbook"/>
        </w:rPr>
        <w:t xml:space="preserve"> percent</w:t>
      </w:r>
      <w:r w:rsidRPr="009F549F">
        <w:rPr>
          <w:rFonts w:eastAsia="Century Schoolbook"/>
        </w:rPr>
        <w:t xml:space="preserve"> of the $10 million, as though it had been accumulating wealth</w:t>
      </w:r>
      <w:r w:rsidR="00134364" w:rsidRPr="00036097">
        <w:rPr>
          <w:rFonts w:eastAsia="Century Schoolbook"/>
        </w:rPr>
        <w:t xml:space="preserve"> </w:t>
      </w:r>
      <w:r w:rsidRPr="009F549F">
        <w:rPr>
          <w:rFonts w:eastAsia="Century Schoolbook"/>
        </w:rPr>
        <w:t>tax obligations throughout the full four years.</w:t>
      </w:r>
      <w:bookmarkStart w:id="126" w:name="_Ref120287240"/>
      <w:r w:rsidRPr="009F549F">
        <w:rPr>
          <w:rFonts w:eastAsia="Century Schoolbook"/>
          <w:vertAlign w:val="superscript"/>
        </w:rPr>
        <w:footnoteReference w:id="203"/>
      </w:r>
      <w:bookmarkEnd w:id="126"/>
    </w:p>
    <w:p w14:paraId="263F7845" w14:textId="77777777" w:rsidR="007B1344" w:rsidRPr="009F549F" w:rsidRDefault="002347BA">
      <w:pPr>
        <w:spacing w:before="240" w:after="240"/>
        <w:ind w:firstLine="720"/>
        <w:jc w:val="both"/>
        <w:rPr>
          <w:rFonts w:eastAsia="Century Schoolbook"/>
        </w:rPr>
      </w:pPr>
      <w:r w:rsidRPr="009F549F">
        <w:rPr>
          <w:rFonts w:eastAsia="Century Schoolbook"/>
        </w:rPr>
        <w:t>Readers who are knowledgeable about corporate or partnership tax rules might recognize this as a familiar problem. In those contexts, the solution would be to increase the taxpayer’s (outside) basis in the stock of the corporation or in the taxpayer’s partnership interests.</w:t>
      </w:r>
      <w:r w:rsidRPr="009F549F">
        <w:rPr>
          <w:rFonts w:eastAsia="Century Schoolbook"/>
          <w:vertAlign w:val="superscript"/>
        </w:rPr>
        <w:footnoteReference w:id="204"/>
      </w:r>
      <w:r w:rsidRPr="009F549F">
        <w:rPr>
          <w:rFonts w:eastAsia="Century Schoolbook"/>
        </w:rPr>
        <w:t xml:space="preserve"> A similar solution works in the ULTRA context. This highlights how the ULTRA regime makes use of separated accounts similar to those used by corporate tax regimes.</w:t>
      </w:r>
    </w:p>
    <w:p w14:paraId="6BF5C60E" w14:textId="345FF45D" w:rsidR="007B1344" w:rsidRPr="009F549F" w:rsidRDefault="002347BA">
      <w:pPr>
        <w:spacing w:before="240" w:after="240"/>
        <w:ind w:firstLine="720"/>
        <w:jc w:val="both"/>
        <w:rPr>
          <w:rFonts w:eastAsia="Century Schoolbook"/>
        </w:rPr>
      </w:pPr>
      <w:r w:rsidRPr="009F549F">
        <w:rPr>
          <w:rFonts w:eastAsia="Century Schoolbook"/>
        </w:rPr>
        <w:t>Although the specifics may vary somewhat depending on what sort of tax system the ULTRA is being used within, at least within wealth tax contexts, the essence of the solution should involve giving the taxpayer credit for the value of the contribution multiplied by the government’s notional equity interest in the ULTRA at the time of the contribution. In our example of Shari Shareholder and an annual wealth tax, this can be achieved by increasing Shari’s account of estimated prepayment taxes for her ULTRA by the value of her contribution ($</w:t>
      </w:r>
      <w:r w:rsidRPr="00036097">
        <w:rPr>
          <w:rFonts w:eastAsia="Century Schoolbook"/>
        </w:rPr>
        <w:t>10</w:t>
      </w:r>
      <w:r w:rsidR="00134364" w:rsidRPr="00036097">
        <w:rPr>
          <w:rFonts w:eastAsia="Century Schoolbook"/>
        </w:rPr>
        <w:t xml:space="preserve"> </w:t>
      </w:r>
      <w:r w:rsidR="00134364" w:rsidRPr="00036097">
        <w:rPr>
          <w:rFonts w:eastAsia="Century Schoolbook"/>
        </w:rPr>
        <w:lastRenderedPageBreak/>
        <w:t>million</w:t>
      </w:r>
      <w:r w:rsidRPr="009F549F">
        <w:rPr>
          <w:rFonts w:eastAsia="Century Schoolbook"/>
        </w:rPr>
        <w:t>) multiplied by the government’s notional equity interest in her ULTRA at the time of the contribution (1.99</w:t>
      </w:r>
      <w:r w:rsidR="00134364" w:rsidRPr="00036097">
        <w:rPr>
          <w:rFonts w:eastAsia="Century Schoolbook"/>
        </w:rPr>
        <w:t xml:space="preserve"> percent</w:t>
      </w:r>
      <w:r w:rsidRPr="009F549F">
        <w:rPr>
          <w:rFonts w:eastAsia="Century Schoolbook"/>
        </w:rPr>
        <w:t>) so that her account of estimated prepayment taxes for her ULTRA would increase by $199,000 (1.99</w:t>
      </w:r>
      <w:r w:rsidR="00134364" w:rsidRPr="00036097">
        <w:rPr>
          <w:rFonts w:eastAsia="Century Schoolbook"/>
        </w:rPr>
        <w:t xml:space="preserve"> percent times</w:t>
      </w:r>
      <w:r w:rsidRPr="009F549F">
        <w:rPr>
          <w:rFonts w:eastAsia="Century Schoolbook"/>
        </w:rPr>
        <w:t xml:space="preserve"> $10 million). When </w:t>
      </w:r>
      <w:r w:rsidRPr="00036097">
        <w:rPr>
          <w:rFonts w:eastAsia="Century Schoolbook"/>
        </w:rPr>
        <w:t>Shari</w:t>
      </w:r>
      <w:r w:rsidR="00911576">
        <w:rPr>
          <w:rFonts w:eastAsia="Century Schoolbook"/>
        </w:rPr>
        <w:t>’</w:t>
      </w:r>
      <w:r w:rsidRPr="00036097">
        <w:rPr>
          <w:rFonts w:eastAsia="Century Schoolbook"/>
        </w:rPr>
        <w:t>s</w:t>
      </w:r>
      <w:r w:rsidRPr="009F549F">
        <w:rPr>
          <w:rFonts w:eastAsia="Century Schoolbook"/>
        </w:rPr>
        <w:t xml:space="preserve"> bill comes due, the bill is reduced by this $199,000, which also turns out to be the amount she would otherwise have been overtaxed if not for this credit.</w:t>
      </w:r>
      <w:r w:rsidR="00CE415A">
        <w:rPr>
          <w:rStyle w:val="FootnoteReference"/>
          <w:rFonts w:eastAsia="Century Schoolbook"/>
        </w:rPr>
        <w:footnoteReference w:id="205"/>
      </w:r>
      <w:r w:rsidRPr="009F549F">
        <w:rPr>
          <w:rFonts w:eastAsia="Century Schoolbook"/>
        </w:rPr>
        <w:t xml:space="preserve">  </w:t>
      </w:r>
    </w:p>
    <w:p w14:paraId="4EBC02DE" w14:textId="705BB511" w:rsidR="007B1344" w:rsidRPr="009F549F" w:rsidRDefault="002347BA">
      <w:pPr>
        <w:spacing w:before="240" w:after="240"/>
        <w:ind w:firstLine="720"/>
        <w:jc w:val="both"/>
        <w:rPr>
          <w:rFonts w:eastAsia="Century Schoolbook"/>
        </w:rPr>
      </w:pPr>
      <w:r w:rsidRPr="009F549F">
        <w:rPr>
          <w:rFonts w:eastAsia="Century Schoolbook"/>
        </w:rPr>
        <w:t xml:space="preserve">The solution for partial withdrawals works similarly. As with cash sales followed by a complete withdrawal, a partial withdrawal should trigger tax in the amount equal to the value of the withdrawal multiplied by the government’s notional equity interest at the time of the withdrawal. The only major complication then </w:t>
      </w:r>
      <w:r w:rsidR="00B60820">
        <w:rPr>
          <w:rFonts w:eastAsia="Century Schoolbook"/>
        </w:rPr>
        <w:t>arises</w:t>
      </w:r>
      <w:r w:rsidR="00B60820" w:rsidRPr="009F549F">
        <w:rPr>
          <w:rFonts w:eastAsia="Century Schoolbook"/>
        </w:rPr>
        <w:t xml:space="preserve"> </w:t>
      </w:r>
      <w:r w:rsidRPr="009F549F">
        <w:rPr>
          <w:rFonts w:eastAsia="Century Schoolbook"/>
        </w:rPr>
        <w:t>if withdrawals are made in forms other than cash or monetary equivalents. In that case, the taxpayer should typically be given a choice of either opting to apply an alternative take-it-or-leave-it valuation mechanism to the withdrawal (which we explain below) or else adding the withdrawn assets back into the ULTRA</w:t>
      </w:r>
      <w:r w:rsidR="00CD5FE9" w:rsidRPr="00036097">
        <w:rPr>
          <w:rFonts w:eastAsia="Century Schoolbook"/>
        </w:rPr>
        <w:t xml:space="preserve">, </w:t>
      </w:r>
      <w:r w:rsidRPr="009F549F">
        <w:rPr>
          <w:rFonts w:eastAsia="Century Schoolbook"/>
        </w:rPr>
        <w:t>thereby effectively canceling the withdrawal for tax law purposes.</w:t>
      </w:r>
      <w:r w:rsidR="00CE415A">
        <w:rPr>
          <w:rStyle w:val="FootnoteReference"/>
          <w:rFonts w:eastAsia="Century Schoolbook"/>
        </w:rPr>
        <w:footnoteReference w:id="206"/>
      </w:r>
    </w:p>
    <w:p w14:paraId="1DC6DB30" w14:textId="22D5656C" w:rsidR="007B1344" w:rsidRPr="009F549F" w:rsidRDefault="002347BA">
      <w:pPr>
        <w:spacing w:before="240" w:after="240"/>
        <w:ind w:firstLine="720"/>
        <w:jc w:val="both"/>
        <w:rPr>
          <w:rFonts w:eastAsia="Century Schoolbook"/>
        </w:rPr>
      </w:pPr>
      <w:r w:rsidRPr="009F549F">
        <w:rPr>
          <w:rFonts w:eastAsia="Century Schoolbook"/>
        </w:rPr>
        <w:t xml:space="preserve">Deemed withdrawals present somewhat trickier problems: </w:t>
      </w:r>
      <w:r w:rsidR="00D7721F" w:rsidRPr="00036097">
        <w:rPr>
          <w:rFonts w:eastAsia="Century Schoolbook"/>
        </w:rPr>
        <w:t>W</w:t>
      </w:r>
      <w:r w:rsidRPr="009F549F">
        <w:rPr>
          <w:rFonts w:eastAsia="Century Schoolbook"/>
        </w:rPr>
        <w:t xml:space="preserve">hat happens if Shari spends $1 million from the corporate treasury on a vanity run for </w:t>
      </w:r>
      <w:r w:rsidR="00B60820">
        <w:rPr>
          <w:rFonts w:eastAsia="Century Schoolbook"/>
        </w:rPr>
        <w:t xml:space="preserve">public </w:t>
      </w:r>
      <w:r w:rsidRPr="009F549F">
        <w:rPr>
          <w:rFonts w:eastAsia="Century Schoolbook"/>
        </w:rPr>
        <w:t>office or a year’s worth of personal travel on private jets? However, these problems are familiar ones in that corporate tax systems and other separated</w:t>
      </w:r>
      <w:r w:rsidR="0097792A">
        <w:rPr>
          <w:rFonts w:eastAsia="Century Schoolbook"/>
        </w:rPr>
        <w:t>-</w:t>
      </w:r>
      <w:r w:rsidRPr="009F549F">
        <w:rPr>
          <w:rFonts w:eastAsia="Century Schoolbook"/>
        </w:rPr>
        <w:t>accounts regimes have already devised elaborate rules for assessing and taxing deemed dividends and other forms of deemed distributions.</w:t>
      </w:r>
      <w:r w:rsidRPr="009F549F">
        <w:rPr>
          <w:rFonts w:eastAsia="Century Schoolbook"/>
          <w:vertAlign w:val="superscript"/>
        </w:rPr>
        <w:footnoteReference w:id="207"/>
      </w:r>
      <w:r w:rsidRPr="009F549F">
        <w:rPr>
          <w:rFonts w:eastAsia="Century Schoolbook"/>
        </w:rPr>
        <w:t xml:space="preserve"> The ULTRA regime can </w:t>
      </w:r>
      <w:r w:rsidR="00E26E07" w:rsidRPr="009F549F">
        <w:rPr>
          <w:rFonts w:eastAsia="Century Schoolbook"/>
        </w:rPr>
        <w:t>th</w:t>
      </w:r>
      <w:r w:rsidR="00E26E07">
        <w:rPr>
          <w:rFonts w:eastAsia="Century Schoolbook"/>
        </w:rPr>
        <w:t>erefore</w:t>
      </w:r>
      <w:r w:rsidR="00E26E07" w:rsidRPr="009F549F">
        <w:rPr>
          <w:rFonts w:eastAsia="Century Schoolbook"/>
        </w:rPr>
        <w:t xml:space="preserve"> </w:t>
      </w:r>
      <w:r w:rsidRPr="009F549F">
        <w:rPr>
          <w:rFonts w:eastAsia="Century Schoolbook"/>
        </w:rPr>
        <w:t xml:space="preserve">make use </w:t>
      </w:r>
      <w:r w:rsidRPr="009F549F">
        <w:rPr>
          <w:rFonts w:eastAsia="Century Schoolbook"/>
        </w:rPr>
        <w:lastRenderedPageBreak/>
        <w:t xml:space="preserve">of these already developed rules for identifying deemed distributions. Transfers of the assets in an ULTRA to or for the benefit of the taxpayer should thus generally be treated as deemed distributions, with the exceptions of reasonable </w:t>
      </w:r>
      <w:r w:rsidRPr="00036097">
        <w:rPr>
          <w:rFonts w:eastAsia="Century Schoolbook"/>
        </w:rPr>
        <w:t>salar</w:t>
      </w:r>
      <w:r w:rsidR="0099369C">
        <w:rPr>
          <w:rFonts w:eastAsia="Century Schoolbook"/>
        </w:rPr>
        <w:t>ies</w:t>
      </w:r>
      <w:r w:rsidRPr="009F549F">
        <w:rPr>
          <w:rFonts w:eastAsia="Century Schoolbook"/>
        </w:rPr>
        <w:t xml:space="preserve"> paid to taxpayers for real work or other similar market</w:t>
      </w:r>
      <w:r w:rsidRPr="009F549F" w:rsidDel="00A1298F">
        <w:rPr>
          <w:rFonts w:eastAsia="Century Schoolbook"/>
        </w:rPr>
        <w:t>-</w:t>
      </w:r>
      <w:r w:rsidRPr="009F549F">
        <w:rPr>
          <w:rFonts w:eastAsia="Century Schoolbook"/>
        </w:rPr>
        <w:t>value transactions.</w:t>
      </w:r>
      <w:r w:rsidRPr="009F549F">
        <w:rPr>
          <w:rFonts w:eastAsia="Century Schoolbook"/>
          <w:vertAlign w:val="superscript"/>
        </w:rPr>
        <w:footnoteReference w:id="208"/>
      </w:r>
    </w:p>
    <w:p w14:paraId="70D3806C" w14:textId="788E0460" w:rsidR="007B1344" w:rsidRPr="009F549F" w:rsidRDefault="002347BA">
      <w:pPr>
        <w:spacing w:before="240" w:after="240"/>
        <w:ind w:firstLine="720"/>
        <w:jc w:val="both"/>
        <w:rPr>
          <w:rFonts w:eastAsia="Century Schoolbook"/>
        </w:rPr>
      </w:pPr>
      <w:r w:rsidRPr="009F549F">
        <w:rPr>
          <w:rFonts w:eastAsia="Century Schoolbook"/>
        </w:rPr>
        <w:t>Just as with existing separated</w:t>
      </w:r>
      <w:r w:rsidR="0097792A">
        <w:rPr>
          <w:rFonts w:eastAsia="Century Schoolbook"/>
        </w:rPr>
        <w:t>-</w:t>
      </w:r>
      <w:r w:rsidRPr="009F549F">
        <w:rPr>
          <w:rFonts w:eastAsia="Century Schoolbook"/>
        </w:rPr>
        <w:t>accounts regimes, these deemed withdrawal rules will not work perfectly and some gaming should be anticipated.</w:t>
      </w:r>
      <w:r w:rsidRPr="009F549F">
        <w:rPr>
          <w:rFonts w:eastAsia="Century Schoolbook"/>
          <w:vertAlign w:val="superscript"/>
        </w:rPr>
        <w:footnoteReference w:id="209"/>
      </w:r>
      <w:r w:rsidRPr="009F549F">
        <w:rPr>
          <w:rFonts w:eastAsia="Century Schoolbook"/>
        </w:rPr>
        <w:t xml:space="preserve"> Most notably, many assets grow due to a combination of both market returns to invested capital and taxpayers’ labor efforts (often called “sweat equity”).</w:t>
      </w:r>
      <w:r w:rsidRPr="009F549F">
        <w:rPr>
          <w:rFonts w:eastAsia="Century Schoolbook"/>
          <w:vertAlign w:val="superscript"/>
        </w:rPr>
        <w:footnoteReference w:id="210"/>
      </w:r>
      <w:r w:rsidRPr="009F549F">
        <w:rPr>
          <w:rFonts w:eastAsia="Century Schoolbook"/>
        </w:rPr>
        <w:t xml:space="preserve"> Under existing business income tax rules, taxpayers typically face incentives to undervalue reported compensation for this sweat equity because it is usually subject to higher taxation than the returns to invested capital.</w:t>
      </w:r>
      <w:r w:rsidRPr="009F549F">
        <w:rPr>
          <w:rFonts w:eastAsia="Century Schoolbook"/>
          <w:vertAlign w:val="superscript"/>
        </w:rPr>
        <w:footnoteReference w:id="211"/>
      </w:r>
      <w:r w:rsidRPr="009F549F">
        <w:rPr>
          <w:rFonts w:eastAsia="Century Schoolbook"/>
        </w:rPr>
        <w:t xml:space="preserve"> By contrast, for growth assets with ULTRAs attached, taxpayers may face incentives to </w:t>
      </w:r>
      <w:r w:rsidRPr="009F549F">
        <w:rPr>
          <w:rFonts w:eastAsia="Century Schoolbook"/>
          <w:i/>
        </w:rPr>
        <w:t>over</w:t>
      </w:r>
      <w:r w:rsidRPr="009F549F">
        <w:rPr>
          <w:rFonts w:eastAsia="Century Schoolbook"/>
        </w:rPr>
        <w:t xml:space="preserve">report compensation for sweat equity so as to reduce the value of the government’s notional equity interest. Thus, although these sorts of gaming incentives cannot be entirely prevented, we think that the ULTRA solution should handle </w:t>
      </w:r>
      <w:r w:rsidRPr="00036097">
        <w:rPr>
          <w:rFonts w:eastAsia="Century Schoolbook"/>
        </w:rPr>
        <w:t>the</w:t>
      </w:r>
      <w:r w:rsidR="0099369C">
        <w:rPr>
          <w:rFonts w:eastAsia="Century Schoolbook"/>
        </w:rPr>
        <w:t>m</w:t>
      </w:r>
      <w:r w:rsidRPr="009F549F">
        <w:rPr>
          <w:rFonts w:eastAsia="Century Schoolbook"/>
        </w:rPr>
        <w:t xml:space="preserve"> better than existing business income tax regimes because the gaming incentives created by the ULTRA solution will often point in conflicting directions</w:t>
      </w:r>
      <w:r w:rsidR="00E26E07">
        <w:rPr>
          <w:rFonts w:eastAsia="Century Schoolbook"/>
        </w:rPr>
        <w:t>, making it hard for taxpayers to aggressively manipulate their tax outcomes</w:t>
      </w:r>
      <w:r w:rsidR="00AA1692">
        <w:rPr>
          <w:rFonts w:ascii="Century Schoolbook" w:eastAsia="Century Schoolbook" w:hAnsi="Century Schoolbook" w:cs="Century Schoolbook"/>
        </w:rPr>
        <w:t xml:space="preserve">. </w:t>
      </w:r>
    </w:p>
    <w:p w14:paraId="7CF2B414" w14:textId="72A3E542" w:rsidR="007B1344" w:rsidRPr="009F549F" w:rsidRDefault="002347BA">
      <w:pPr>
        <w:spacing w:before="240" w:after="240"/>
        <w:ind w:firstLine="720"/>
        <w:jc w:val="both"/>
        <w:rPr>
          <w:rFonts w:eastAsia="Century Schoolbook"/>
        </w:rPr>
      </w:pPr>
      <w:r w:rsidRPr="009F549F">
        <w:rPr>
          <w:rFonts w:eastAsia="Century Schoolbook"/>
        </w:rPr>
        <w:lastRenderedPageBreak/>
        <w:t>Furthermore, the ULTRA solution readily handles what is arguably the primary gaming flaw undermining existing corporate tax and other separated</w:t>
      </w:r>
      <w:r w:rsidR="00A8609D">
        <w:rPr>
          <w:rFonts w:eastAsia="Century Schoolbook"/>
        </w:rPr>
        <w:t>-</w:t>
      </w:r>
      <w:r w:rsidRPr="00036097">
        <w:rPr>
          <w:rFonts w:eastAsia="Century Schoolbook"/>
        </w:rPr>
        <w:t>account</w:t>
      </w:r>
      <w:r w:rsidR="00A8609D">
        <w:rPr>
          <w:rFonts w:eastAsia="Century Schoolbook"/>
        </w:rPr>
        <w:t>s</w:t>
      </w:r>
      <w:r w:rsidRPr="009F549F">
        <w:rPr>
          <w:rFonts w:eastAsia="Century Schoolbook"/>
        </w:rPr>
        <w:t xml:space="preserve"> regimes—the problem of taxpayers borrowing at the personal level to effectively withdraw value from such regimes while escaping tax.</w:t>
      </w:r>
      <w:r w:rsidRPr="009F549F">
        <w:rPr>
          <w:rFonts w:eastAsia="Century Schoolbook"/>
          <w:vertAlign w:val="superscript"/>
        </w:rPr>
        <w:footnoteReference w:id="212"/>
      </w:r>
      <w:r w:rsidRPr="009F549F">
        <w:rPr>
          <w:rFonts w:eastAsia="Century Schoolbook"/>
        </w:rPr>
        <w:t xml:space="preserve"> The ULTRA solution solves this by treating personal</w:t>
      </w:r>
      <w:r w:rsidR="00A8609D">
        <w:rPr>
          <w:rFonts w:eastAsia="Century Schoolbook"/>
        </w:rPr>
        <w:t>-</w:t>
      </w:r>
      <w:r w:rsidRPr="009F549F">
        <w:rPr>
          <w:rFonts w:eastAsia="Century Schoolbook"/>
        </w:rPr>
        <w:t>level borrowing by taxpayers maintaining ULTRAs as a form of deemed distribution from the ULTRA. This solution works within the ULTRA context because, at any given point in time, there will be a single percentage figure for the government’s notional equity interest in the assets to which the ULTRA is attached. Thus, all that is needed to treat a taxpayer’s personal</w:t>
      </w:r>
      <w:r w:rsidR="00A8609D">
        <w:rPr>
          <w:rFonts w:eastAsia="Century Schoolbook"/>
        </w:rPr>
        <w:t>-</w:t>
      </w:r>
      <w:r w:rsidRPr="009F549F">
        <w:rPr>
          <w:rFonts w:eastAsia="Century Schoolbook"/>
        </w:rPr>
        <w:t xml:space="preserve">level borrowing as a deemed distribution from the taxpayer’s ULTRA is to multiply the amount of that borrowing by the government’s notional equity interest in the ULTRA at the time of the borrowing. The taxes paid as a result of this can then be added to the taxpayer’s account of estimated prepayment taxes for the ULTRA. If the taxpayer later pays off the borrowing, this should entitle the taxpayer to a refund of taxes previously paid on the borrowing (with a corresponding reduction </w:t>
      </w:r>
      <w:r w:rsidR="00A8609D">
        <w:rPr>
          <w:rFonts w:eastAsia="Century Schoolbook"/>
        </w:rPr>
        <w:t>in</w:t>
      </w:r>
      <w:r w:rsidRPr="009F549F">
        <w:rPr>
          <w:rFonts w:eastAsia="Century Schoolbook"/>
        </w:rPr>
        <w:t xml:space="preserve"> the taxpayer’s account of estimated prepayment taxes for the ULTRA).</w:t>
      </w:r>
    </w:p>
    <w:p w14:paraId="05F3656C" w14:textId="3701EBC4" w:rsidR="007B1344" w:rsidRPr="009F549F" w:rsidRDefault="002347BA">
      <w:pPr>
        <w:pStyle w:val="Heading2"/>
        <w:rPr>
          <w:rFonts w:ascii="Times New Roman" w:hAnsi="Times New Roman"/>
          <w:i/>
          <w:sz w:val="24"/>
        </w:rPr>
      </w:pPr>
      <w:bookmarkStart w:id="127" w:name="_Ref119431576"/>
      <w:bookmarkStart w:id="128" w:name="_Toc115088940"/>
      <w:bookmarkStart w:id="129" w:name="_Toc120019836"/>
      <w:r w:rsidRPr="009F549F">
        <w:rPr>
          <w:rFonts w:ascii="Times New Roman" w:hAnsi="Times New Roman"/>
          <w:i/>
          <w:sz w:val="24"/>
        </w:rPr>
        <w:t>D. The Take-</w:t>
      </w:r>
      <w:r w:rsidR="008D5592">
        <w:rPr>
          <w:rFonts w:ascii="Times New Roman" w:hAnsi="Times New Roman" w:cs="Times New Roman"/>
          <w:i/>
          <w:sz w:val="24"/>
          <w:szCs w:val="24"/>
        </w:rPr>
        <w:t>I</w:t>
      </w:r>
      <w:r w:rsidRPr="009F549F">
        <w:rPr>
          <w:rFonts w:ascii="Times New Roman" w:hAnsi="Times New Roman"/>
          <w:i/>
          <w:sz w:val="24"/>
        </w:rPr>
        <w:t>t-or-Leave-</w:t>
      </w:r>
      <w:r w:rsidR="008D5592">
        <w:rPr>
          <w:rFonts w:ascii="Times New Roman" w:hAnsi="Times New Roman" w:cs="Times New Roman"/>
          <w:i/>
          <w:sz w:val="24"/>
          <w:szCs w:val="24"/>
        </w:rPr>
        <w:t>I</w:t>
      </w:r>
      <w:r w:rsidRPr="009F549F">
        <w:rPr>
          <w:rFonts w:ascii="Times New Roman" w:hAnsi="Times New Roman"/>
          <w:i/>
          <w:sz w:val="24"/>
        </w:rPr>
        <w:t>t Alternative Valuation Mechanism</w:t>
      </w:r>
      <w:bookmarkEnd w:id="127"/>
      <w:bookmarkEnd w:id="128"/>
      <w:bookmarkEnd w:id="129"/>
    </w:p>
    <w:p w14:paraId="658680FA" w14:textId="3D9F6318" w:rsidR="007B1344" w:rsidRPr="009F549F" w:rsidRDefault="002347BA">
      <w:pPr>
        <w:spacing w:before="240" w:after="240"/>
        <w:ind w:firstLine="720"/>
        <w:jc w:val="both"/>
        <w:rPr>
          <w:rFonts w:eastAsia="Century Schoolbook"/>
        </w:rPr>
      </w:pPr>
      <w:r w:rsidRPr="009F549F">
        <w:rPr>
          <w:rFonts w:eastAsia="Century Schoolbook"/>
        </w:rPr>
        <w:t>Let us now return to the problem of noncash withdrawals. For instance, what if Shari Shareholder decides not to sell her shares, but instead eventually opts to bequeath those shares to her heirs? As discussed previously, prior proposals for retrospective reforms generally require that the taxpayer’s death trigger tax realization because otherwise these reforms would fail.</w:t>
      </w:r>
      <w:r w:rsidRPr="009F549F">
        <w:rPr>
          <w:rFonts w:eastAsia="Century Schoolbook"/>
          <w:vertAlign w:val="superscript"/>
        </w:rPr>
        <w:footnoteReference w:id="213"/>
      </w:r>
      <w:r w:rsidRPr="009F549F">
        <w:rPr>
          <w:rFonts w:eastAsia="Century Schoolbook"/>
        </w:rPr>
        <w:t xml:space="preserve"> Yet this raises questions of how to value noncash withdrawals made either at death or for other allowed reasons.</w:t>
      </w:r>
      <w:r w:rsidRPr="009F549F">
        <w:rPr>
          <w:rFonts w:eastAsia="Century Schoolbook"/>
          <w:vertAlign w:val="superscript"/>
        </w:rPr>
        <w:footnoteReference w:id="214"/>
      </w:r>
      <w:r w:rsidRPr="009F549F">
        <w:rPr>
          <w:rFonts w:eastAsia="Century Schoolbook"/>
        </w:rPr>
        <w:t xml:space="preserve"> Under either our ULTRA proposal or prior retrospective reform </w:t>
      </w:r>
      <w:r w:rsidRPr="009F549F">
        <w:rPr>
          <w:rFonts w:eastAsia="Century Schoolbook"/>
        </w:rPr>
        <w:lastRenderedPageBreak/>
        <w:t>proposals, without a robust alternative valuation methodology, taxpayers could face strong incentives to avoid cash sales or cash distributions during life in the hopes of playing valuation games upon death or upon other allowed noncash distribution events.</w:t>
      </w:r>
    </w:p>
    <w:p w14:paraId="740EDF1E" w14:textId="256944AE" w:rsidR="007B1344" w:rsidRPr="009F549F" w:rsidRDefault="002347BA">
      <w:pPr>
        <w:spacing w:before="240" w:after="240"/>
        <w:ind w:firstLine="720"/>
        <w:jc w:val="both"/>
        <w:rPr>
          <w:rFonts w:eastAsia="Century Schoolbook"/>
        </w:rPr>
      </w:pPr>
      <w:bookmarkStart w:id="130" w:name="_28h4qwu" w:colFirst="0" w:colLast="0"/>
      <w:bookmarkEnd w:id="130"/>
      <w:r w:rsidRPr="009F549F">
        <w:rPr>
          <w:rFonts w:eastAsia="Century Schoolbook"/>
        </w:rPr>
        <w:t>Relatedly, ULTRAs can be offered either as a voluntary option or as a mandatory requirement. One reason why it may be preferable to offer ULTRAs as a voluntary option, at least for certain specified tax situations, is that the notional equity interest that the government obtains through an ULTRA might seem to result in excessive taxation for some high-growth assets or assets held within ULTRAs for very long time periods. Philosophically, we might argue that tax regimes should involve the government taking what amounts to partial equity interests in private businesses and investments because the economic success of these ventures depends in part on taxpayer</w:t>
      </w:r>
      <w:r w:rsidR="00830547">
        <w:rPr>
          <w:rFonts w:eastAsia="Century Schoolbook"/>
        </w:rPr>
        <w:t>-</w:t>
      </w:r>
      <w:r w:rsidRPr="009F549F">
        <w:rPr>
          <w:rFonts w:eastAsia="Century Schoolbook"/>
        </w:rPr>
        <w:t>funded protections and services.</w:t>
      </w:r>
      <w:r w:rsidRPr="009F549F">
        <w:rPr>
          <w:rFonts w:eastAsia="Century Schoolbook"/>
          <w:vertAlign w:val="superscript"/>
        </w:rPr>
        <w:footnoteReference w:id="215"/>
      </w:r>
      <w:r w:rsidRPr="009F549F">
        <w:rPr>
          <w:rFonts w:eastAsia="Century Schoolbook"/>
        </w:rPr>
        <w:t xml:space="preserve"> Nevertheless, we worry that political arguments about the optics of excessive taxation might erode political support for mandatory ULTRAs in some contexts. A robust alternative valuation mechanism is thus helpful both for handling noncash withdrawals and for facilitating offering ULTRAs as a voluntary option rather than a mandatory requirement. </w:t>
      </w:r>
    </w:p>
    <w:p w14:paraId="79927C1A" w14:textId="2C39ACC7" w:rsidR="007B1344" w:rsidRPr="009F549F" w:rsidRDefault="002347BA">
      <w:pPr>
        <w:spacing w:before="240" w:after="240"/>
        <w:ind w:firstLine="720"/>
        <w:jc w:val="both"/>
        <w:rPr>
          <w:rFonts w:eastAsia="Century Schoolbook"/>
        </w:rPr>
      </w:pPr>
      <w:r w:rsidRPr="009F549F">
        <w:rPr>
          <w:rFonts w:eastAsia="Century Schoolbook"/>
        </w:rPr>
        <w:t>Implementing a robust alternative valuation mechanism is difficult to impossible within existing forms of taxation, however. Valuations provided by taxpayers or by expert appraisers hired by taxpayers are inevitably highly gameable.</w:t>
      </w:r>
      <w:r w:rsidRPr="009F549F">
        <w:rPr>
          <w:rFonts w:eastAsia="Century Schoolbook"/>
          <w:vertAlign w:val="superscript"/>
        </w:rPr>
        <w:footnoteReference w:id="216"/>
      </w:r>
      <w:r w:rsidRPr="009F549F">
        <w:rPr>
          <w:rFonts w:eastAsia="Century Schoolbook"/>
        </w:rPr>
        <w:t xml:space="preserve"> Formulaic valuations can work well enough for some assets, but it is impossible to design formulas capable of valuing all important forms of assets.</w:t>
      </w:r>
      <w:r w:rsidRPr="009F549F">
        <w:rPr>
          <w:rFonts w:eastAsia="Century Schoolbook"/>
          <w:vertAlign w:val="superscript"/>
        </w:rPr>
        <w:footnoteReference w:id="217"/>
      </w:r>
      <w:r w:rsidRPr="009F549F">
        <w:rPr>
          <w:rFonts w:eastAsia="Century Schoolbook"/>
        </w:rPr>
        <w:t xml:space="preserve"> </w:t>
      </w:r>
      <w:r w:rsidRPr="009F549F">
        <w:rPr>
          <w:rFonts w:eastAsia="Century Schoolbook"/>
        </w:rPr>
        <w:lastRenderedPageBreak/>
        <w:t>If valuations are instead provided by the tax authority or by third-party experts hired by the tax authority, then due process concerns necessitate offering taxpayers a way to either reject or challenge the valuations.</w:t>
      </w:r>
      <w:bookmarkStart w:id="131" w:name="_Ref120350464"/>
      <w:r w:rsidRPr="009F549F">
        <w:rPr>
          <w:rFonts w:eastAsia="Century Schoolbook"/>
          <w:vertAlign w:val="superscript"/>
        </w:rPr>
        <w:footnoteReference w:id="218"/>
      </w:r>
      <w:bookmarkEnd w:id="131"/>
      <w:r w:rsidRPr="009F549F">
        <w:rPr>
          <w:rFonts w:eastAsia="Century Schoolbook"/>
        </w:rPr>
        <w:t xml:space="preserve"> But offering taxpayers a way to challenge these valuations then </w:t>
      </w:r>
      <w:r w:rsidRPr="00036097">
        <w:rPr>
          <w:rFonts w:eastAsia="Century Schoolbook"/>
        </w:rPr>
        <w:t>re</w:t>
      </w:r>
      <w:r w:rsidR="00830547">
        <w:rPr>
          <w:rFonts w:eastAsia="Century Schoolbook"/>
        </w:rPr>
        <w:t>-</w:t>
      </w:r>
      <w:r w:rsidRPr="00036097">
        <w:rPr>
          <w:rFonts w:eastAsia="Century Schoolbook"/>
        </w:rPr>
        <w:t>creates</w:t>
      </w:r>
      <w:r w:rsidRPr="009F549F">
        <w:rPr>
          <w:rFonts w:eastAsia="Century Schoolbook"/>
        </w:rPr>
        <w:t xml:space="preserve"> many of the problems with taxpayer-provided valuations because sophisticated taxpayers will often bring much greater resources to litigation or other valuation-dispute proceedings as compared to the resources available to the tax authority.</w:t>
      </w:r>
      <w:r w:rsidRPr="009F549F">
        <w:rPr>
          <w:rFonts w:eastAsia="Century Schoolbook"/>
          <w:vertAlign w:val="superscript"/>
        </w:rPr>
        <w:footnoteReference w:id="219"/>
      </w:r>
      <w:r w:rsidRPr="009F549F">
        <w:rPr>
          <w:rFonts w:eastAsia="Century Schoolbook"/>
        </w:rPr>
        <w:t xml:space="preserve">  </w:t>
      </w:r>
    </w:p>
    <w:p w14:paraId="03AFFB8B" w14:textId="5ED13C75" w:rsidR="007B1344" w:rsidRPr="009F549F" w:rsidRDefault="002347BA">
      <w:pPr>
        <w:spacing w:before="240" w:after="240"/>
        <w:ind w:firstLine="720"/>
        <w:jc w:val="both"/>
        <w:rPr>
          <w:rFonts w:eastAsia="Century Schoolbook"/>
        </w:rPr>
      </w:pPr>
      <w:r w:rsidRPr="009F549F">
        <w:rPr>
          <w:rFonts w:eastAsia="Century Schoolbook"/>
        </w:rPr>
        <w:t>Offering ULTRAs as a voluntary option presents a way out of this dilemma. Specifically, the ULTRA option can be offered as an alternative to a regime</w:t>
      </w:r>
      <w:r w:rsidR="003B3EA5">
        <w:rPr>
          <w:rFonts w:eastAsia="Century Schoolbook"/>
        </w:rPr>
        <w:t xml:space="preserve"> where appraisals are all controlled by the tax authority</w:t>
      </w:r>
      <w:r w:rsidRPr="009F549F">
        <w:rPr>
          <w:rFonts w:eastAsia="Century Schoolbook"/>
        </w:rPr>
        <w:t xml:space="preserve">. </w:t>
      </w:r>
      <w:r w:rsidR="009B1E9B">
        <w:rPr>
          <w:rFonts w:eastAsia="Century Schoolbook"/>
        </w:rPr>
        <w:t>In this combined</w:t>
      </w:r>
      <w:r w:rsidRPr="009F549F">
        <w:rPr>
          <w:rFonts w:eastAsia="Century Schoolbook"/>
        </w:rPr>
        <w:t xml:space="preserve"> </w:t>
      </w:r>
      <w:r w:rsidR="009B1E9B">
        <w:rPr>
          <w:rFonts w:eastAsia="Century Schoolbook"/>
        </w:rPr>
        <w:t>"</w:t>
      </w:r>
      <w:r w:rsidRPr="009F549F">
        <w:rPr>
          <w:rFonts w:eastAsia="Century Schoolbook"/>
        </w:rPr>
        <w:t>take-it-or-leave-it</w:t>
      </w:r>
      <w:r w:rsidR="009B1E9B">
        <w:rPr>
          <w:rFonts w:eastAsia="Century Schoolbook"/>
        </w:rPr>
        <w:t>"</w:t>
      </w:r>
      <w:r w:rsidRPr="009F549F">
        <w:rPr>
          <w:rFonts w:eastAsia="Century Schoolbook"/>
        </w:rPr>
        <w:t xml:space="preserve"> alternative valuation regime</w:t>
      </w:r>
      <w:r w:rsidR="009B1E9B">
        <w:rPr>
          <w:rFonts w:eastAsia="Century Schoolbook"/>
        </w:rPr>
        <w:t>,</w:t>
      </w:r>
      <w:r w:rsidRPr="009F549F">
        <w:rPr>
          <w:rFonts w:eastAsia="Century Schoolbook"/>
        </w:rPr>
        <w:t xml:space="preserve"> the tax authority </w:t>
      </w:r>
      <w:r w:rsidR="009B1E9B">
        <w:rPr>
          <w:rFonts w:eastAsia="Century Schoolbook"/>
        </w:rPr>
        <w:t xml:space="preserve">could </w:t>
      </w:r>
      <w:r w:rsidRPr="009F549F">
        <w:rPr>
          <w:rFonts w:eastAsia="Century Schoolbook"/>
        </w:rPr>
        <w:t>hir</w:t>
      </w:r>
      <w:r w:rsidR="009B1E9B">
        <w:rPr>
          <w:rFonts w:eastAsia="Century Schoolbook"/>
        </w:rPr>
        <w:t>e</w:t>
      </w:r>
      <w:r w:rsidRPr="009F549F">
        <w:rPr>
          <w:rFonts w:eastAsia="Century Schoolbook"/>
        </w:rPr>
        <w:t xml:space="preserve"> third-party expert appraisers to value taxpayers’ assets and taxpayers </w:t>
      </w:r>
      <w:r w:rsidR="009B1E9B">
        <w:rPr>
          <w:rFonts w:eastAsia="Century Schoolbook"/>
        </w:rPr>
        <w:t>would not</w:t>
      </w:r>
      <w:r w:rsidR="00F27718">
        <w:rPr>
          <w:rFonts w:eastAsia="Century Schoolbook"/>
        </w:rPr>
        <w:t xml:space="preserve"> generally</w:t>
      </w:r>
      <w:r w:rsidR="009B1E9B">
        <w:rPr>
          <w:rFonts w:eastAsia="Century Schoolbook"/>
        </w:rPr>
        <w:t xml:space="preserve"> be permitted to</w:t>
      </w:r>
      <w:r w:rsidRPr="009F549F">
        <w:rPr>
          <w:rFonts w:eastAsia="Century Schoolbook"/>
        </w:rPr>
        <w:t xml:space="preserve"> challeng</w:t>
      </w:r>
      <w:r w:rsidR="009B1E9B">
        <w:rPr>
          <w:rFonts w:eastAsia="Century Schoolbook"/>
        </w:rPr>
        <w:t>e</w:t>
      </w:r>
      <w:r w:rsidRPr="009F549F">
        <w:rPr>
          <w:rFonts w:eastAsia="Century Schoolbook"/>
        </w:rPr>
        <w:t xml:space="preserve"> these valuations.</w:t>
      </w:r>
      <w:bookmarkStart w:id="132" w:name="_Ref120350473"/>
      <w:r w:rsidRPr="009F549F">
        <w:rPr>
          <w:rFonts w:eastAsia="Century Schoolbook"/>
          <w:vertAlign w:val="superscript"/>
        </w:rPr>
        <w:footnoteReference w:id="220"/>
      </w:r>
      <w:bookmarkEnd w:id="132"/>
      <w:r w:rsidRPr="009F549F">
        <w:rPr>
          <w:rFonts w:eastAsia="Century Schoolbook"/>
        </w:rPr>
        <w:t xml:space="preserve"> </w:t>
      </w:r>
      <w:r w:rsidR="009B1E9B">
        <w:rPr>
          <w:rFonts w:eastAsia="Century Schoolbook"/>
        </w:rPr>
        <w:t xml:space="preserve">But taxpayers would still have recourse </w:t>
      </w:r>
      <w:r w:rsidR="009B1E9B">
        <w:rPr>
          <w:rFonts w:eastAsia="Century Schoolbook"/>
        </w:rPr>
        <w:lastRenderedPageBreak/>
        <w:t xml:space="preserve">to </w:t>
      </w:r>
      <w:r w:rsidR="00CA406A">
        <w:rPr>
          <w:rFonts w:eastAsia="Century Schoolbook"/>
        </w:rPr>
        <w:t xml:space="preserve">reject these valuations in favor of </w:t>
      </w:r>
      <w:r w:rsidR="009B1E9B">
        <w:rPr>
          <w:rFonts w:eastAsia="Century Schoolbook"/>
        </w:rPr>
        <w:t>another</w:t>
      </w:r>
      <w:r w:rsidR="00CA406A">
        <w:rPr>
          <w:rFonts w:eastAsia="Century Schoolbook"/>
        </w:rPr>
        <w:t xml:space="preserve"> alternative</w:t>
      </w:r>
      <w:r w:rsidR="009B1E9B">
        <w:rPr>
          <w:rFonts w:eastAsia="Century Schoolbook"/>
        </w:rPr>
        <w:t xml:space="preserve"> valuation: the value they </w:t>
      </w:r>
      <w:r w:rsidR="00CA406A">
        <w:rPr>
          <w:rFonts w:eastAsia="Century Schoolbook"/>
        </w:rPr>
        <w:t xml:space="preserve">would </w:t>
      </w:r>
      <w:r w:rsidR="009B1E9B">
        <w:rPr>
          <w:rFonts w:eastAsia="Century Schoolbook"/>
        </w:rPr>
        <w:t xml:space="preserve">realize after accepting an ULTRA and later selling the asset. </w:t>
      </w:r>
      <w:r w:rsidRPr="009F549F">
        <w:rPr>
          <w:rFonts w:eastAsia="Century Schoolbook"/>
        </w:rPr>
        <w:t xml:space="preserve">In place of using challenge or dispute mechanisms, </w:t>
      </w:r>
      <w:r w:rsidR="00CA406A">
        <w:rPr>
          <w:rFonts w:eastAsia="Century Schoolbook"/>
        </w:rPr>
        <w:t xml:space="preserve">then, </w:t>
      </w:r>
      <w:r w:rsidRPr="009F549F">
        <w:rPr>
          <w:rFonts w:eastAsia="Century Schoolbook"/>
        </w:rPr>
        <w:t>due process can be protected by granting taxpayers the option of rejecting the</w:t>
      </w:r>
      <w:r w:rsidR="009B1E9B">
        <w:rPr>
          <w:rFonts w:eastAsia="Century Schoolbook"/>
        </w:rPr>
        <w:t xml:space="preserve"> government's</w:t>
      </w:r>
      <w:r w:rsidR="006B1E71">
        <w:rPr>
          <w:rFonts w:eastAsia="Century Schoolbook"/>
        </w:rPr>
        <w:t xml:space="preserve"> </w:t>
      </w:r>
      <w:r w:rsidRPr="009F549F">
        <w:rPr>
          <w:rFonts w:eastAsia="Century Schoolbook"/>
        </w:rPr>
        <w:t>valuations and instead attaching an ULTRA to their assets.</w:t>
      </w:r>
    </w:p>
    <w:p w14:paraId="1151ADFC" w14:textId="28ED2481" w:rsidR="007B1344" w:rsidRPr="009F549F" w:rsidRDefault="002347BA">
      <w:pPr>
        <w:spacing w:before="240" w:after="240"/>
        <w:ind w:firstLine="720"/>
        <w:jc w:val="both"/>
        <w:rPr>
          <w:rFonts w:eastAsia="Century Schoolbook"/>
        </w:rPr>
      </w:pPr>
      <w:r w:rsidRPr="009F549F">
        <w:rPr>
          <w:rFonts w:eastAsia="Century Schoolbook"/>
        </w:rPr>
        <w:t xml:space="preserve">This approach presents taxpayers with something of a gamble in deciding between the take-it-or-leave-it alternative valuation option </w:t>
      </w:r>
      <w:r w:rsidR="0014299F">
        <w:rPr>
          <w:rFonts w:eastAsia="Century Schoolbook"/>
        </w:rPr>
        <w:t>and</w:t>
      </w:r>
      <w:r w:rsidRPr="009F549F">
        <w:rPr>
          <w:rFonts w:eastAsia="Century Schoolbook"/>
        </w:rPr>
        <w:t xml:space="preserve"> the ULTRA option. This is because the notional equity interest granted to the government by the ULTRA will result in larger tax obligations the more and </w:t>
      </w:r>
      <w:r w:rsidR="0014299F">
        <w:rPr>
          <w:rFonts w:eastAsia="Century Schoolbook"/>
        </w:rPr>
        <w:t xml:space="preserve">the </w:t>
      </w:r>
      <w:r w:rsidRPr="009F549F">
        <w:rPr>
          <w:rFonts w:eastAsia="Century Schoolbook"/>
        </w:rPr>
        <w:t>faster the asset grows over time, whereas the take-it-or-leave-it alternative valuation option would be based on assessing the value of the asset at the time of the valuation. Because the future is uncertain, it will typically be impossible to predict with certainty which option will result in overall lower tax obligations.</w:t>
      </w:r>
      <w:bookmarkStart w:id="133" w:name="_Ref120289468"/>
      <w:r w:rsidRPr="009F549F">
        <w:rPr>
          <w:rFonts w:eastAsia="Century Schoolbook"/>
          <w:vertAlign w:val="superscript"/>
        </w:rPr>
        <w:footnoteReference w:id="221"/>
      </w:r>
      <w:bookmarkEnd w:id="133"/>
    </w:p>
    <w:p w14:paraId="058C4FA7" w14:textId="41750F27" w:rsidR="007B1344" w:rsidRPr="009F549F" w:rsidRDefault="002347BA">
      <w:pPr>
        <w:spacing w:before="240" w:after="240"/>
        <w:ind w:firstLine="720"/>
        <w:jc w:val="both"/>
        <w:rPr>
          <w:rFonts w:eastAsia="Century Schoolbook"/>
        </w:rPr>
      </w:pPr>
      <w:r w:rsidRPr="009F549F">
        <w:rPr>
          <w:rFonts w:eastAsia="Century Schoolbook"/>
        </w:rPr>
        <w:lastRenderedPageBreak/>
        <w:t xml:space="preserve">Existing tax laws already </w:t>
      </w:r>
      <w:proofErr w:type="gramStart"/>
      <w:r w:rsidRPr="009F549F">
        <w:rPr>
          <w:rFonts w:eastAsia="Century Schoolbook"/>
        </w:rPr>
        <w:t>contain</w:t>
      </w:r>
      <w:proofErr w:type="gramEnd"/>
      <w:r w:rsidRPr="009F549F">
        <w:rPr>
          <w:rFonts w:eastAsia="Century Schoolbook"/>
        </w:rPr>
        <w:t xml:space="preserve"> some analogies. As we discussed in Part II.F, the existing PFIC regime is similarly based on offering </w:t>
      </w:r>
      <w:r w:rsidR="009B1E9B">
        <w:rPr>
          <w:rFonts w:eastAsia="Century Schoolbook"/>
        </w:rPr>
        <w:t>eligible</w:t>
      </w:r>
      <w:r w:rsidR="009B1E9B" w:rsidRPr="009F549F">
        <w:rPr>
          <w:rFonts w:eastAsia="Century Schoolbook"/>
        </w:rPr>
        <w:t xml:space="preserve"> </w:t>
      </w:r>
      <w:r w:rsidRPr="009F549F">
        <w:rPr>
          <w:rFonts w:eastAsia="Century Schoolbook"/>
        </w:rPr>
        <w:t>taxpayers the choice between relatively strict and robust alternative regimes and</w:t>
      </w:r>
      <w:r w:rsidR="008A56FF" w:rsidRPr="004458A0">
        <w:rPr>
          <w:rFonts w:eastAsia="Century Schoolbook"/>
        </w:rPr>
        <w:t>,</w:t>
      </w:r>
      <w:r w:rsidRPr="009F549F">
        <w:rPr>
          <w:rFonts w:eastAsia="Century Schoolbook"/>
        </w:rPr>
        <w:t xml:space="preserve"> in doing so</w:t>
      </w:r>
      <w:r w:rsidR="008A56FF" w:rsidRPr="004458A0">
        <w:rPr>
          <w:rFonts w:eastAsia="Century Schoolbook"/>
        </w:rPr>
        <w:t>,</w:t>
      </w:r>
      <w:r w:rsidRPr="009F549F">
        <w:rPr>
          <w:rFonts w:eastAsia="Century Schoolbook"/>
        </w:rPr>
        <w:t xml:space="preserve"> operates as a form of information-generating rule. Similarly, the ULTRA method’s use of a strict alternative take-it-or-leave-it valuation option is designed as a form of information-generating rule to combat valuation-based gaming. </w:t>
      </w:r>
    </w:p>
    <w:p w14:paraId="72D8687F" w14:textId="5DBBC56F" w:rsidR="007B1344" w:rsidRPr="009F549F" w:rsidRDefault="002347BA">
      <w:pPr>
        <w:spacing w:before="240" w:after="240"/>
        <w:ind w:firstLine="720"/>
        <w:jc w:val="both"/>
        <w:rPr>
          <w:rFonts w:eastAsia="Century Schoolbook"/>
        </w:rPr>
      </w:pPr>
      <w:r w:rsidRPr="009F549F">
        <w:rPr>
          <w:rFonts w:eastAsia="Century Schoolbook"/>
        </w:rPr>
        <w:t xml:space="preserve">For another example from existing tax laws, consider the </w:t>
      </w:r>
      <w:r w:rsidR="001A08D2" w:rsidRPr="00036097">
        <w:rPr>
          <w:rFonts w:eastAsia="Century Schoolbook"/>
        </w:rPr>
        <w:t xml:space="preserve">Internal Revenue </w:t>
      </w:r>
      <w:r w:rsidRPr="00036097">
        <w:rPr>
          <w:rFonts w:eastAsia="Century Schoolbook"/>
        </w:rPr>
        <w:t>Code</w:t>
      </w:r>
      <w:r w:rsidR="00C66FB1">
        <w:rPr>
          <w:rFonts w:eastAsia="Century Schoolbook"/>
        </w:rPr>
        <w:t>’</w:t>
      </w:r>
      <w:r w:rsidRPr="00036097">
        <w:rPr>
          <w:rFonts w:eastAsia="Century Schoolbook"/>
        </w:rPr>
        <w:t xml:space="preserve">s </w:t>
      </w:r>
      <w:r w:rsidR="006F7A8D" w:rsidRPr="00036097">
        <w:rPr>
          <w:rFonts w:eastAsia="Century Schoolbook"/>
        </w:rPr>
        <w:t>s</w:t>
      </w:r>
      <w:r w:rsidRPr="009F549F">
        <w:rPr>
          <w:rFonts w:eastAsia="Century Schoolbook"/>
        </w:rPr>
        <w:t>ection 83(b) election.</w:t>
      </w:r>
      <w:r w:rsidRPr="009F549F">
        <w:rPr>
          <w:rFonts w:eastAsia="Century Schoolbook"/>
          <w:vertAlign w:val="superscript"/>
        </w:rPr>
        <w:footnoteReference w:id="222"/>
      </w:r>
      <w:r w:rsidRPr="009F549F">
        <w:rPr>
          <w:rFonts w:eastAsia="Century Schoolbook"/>
        </w:rPr>
        <w:t xml:space="preserve"> This election is available when an employee is paid in a form of property that has a “substantial risk of forfeiture,” like </w:t>
      </w:r>
      <w:r w:rsidR="00FB65C3">
        <w:rPr>
          <w:rFonts w:eastAsia="Century Schoolbook"/>
        </w:rPr>
        <w:t xml:space="preserve">shares of </w:t>
      </w:r>
      <w:r w:rsidRPr="009F549F">
        <w:rPr>
          <w:rFonts w:eastAsia="Century Schoolbook"/>
        </w:rPr>
        <w:t>stock that vest in the future.</w:t>
      </w:r>
      <w:r w:rsidR="00AD28F6">
        <w:rPr>
          <w:rStyle w:val="FootnoteReference"/>
          <w:rFonts w:eastAsia="Century Schoolbook"/>
        </w:rPr>
        <w:footnoteReference w:id="223"/>
      </w:r>
      <w:r w:rsidRPr="009F549F">
        <w:rPr>
          <w:rFonts w:eastAsia="Century Schoolbook"/>
        </w:rPr>
        <w:t xml:space="preserve"> Because these </w:t>
      </w:r>
      <w:r w:rsidR="00FB65C3">
        <w:rPr>
          <w:rFonts w:eastAsia="Century Schoolbook"/>
        </w:rPr>
        <w:t>shares</w:t>
      </w:r>
      <w:r w:rsidR="00FB65C3" w:rsidRPr="009F549F">
        <w:rPr>
          <w:rFonts w:eastAsia="Century Schoolbook"/>
        </w:rPr>
        <w:t xml:space="preserve"> </w:t>
      </w:r>
      <w:r w:rsidRPr="009F549F">
        <w:rPr>
          <w:rFonts w:eastAsia="Century Schoolbook"/>
        </w:rPr>
        <w:t xml:space="preserve">are payments for services, they should be taxed as income when received. Yet, because the </w:t>
      </w:r>
      <w:r w:rsidR="00FB65C3">
        <w:rPr>
          <w:rFonts w:eastAsia="Century Schoolbook"/>
        </w:rPr>
        <w:t>shares</w:t>
      </w:r>
      <w:r w:rsidR="00FB65C3" w:rsidRPr="009F549F">
        <w:rPr>
          <w:rFonts w:eastAsia="Century Schoolbook"/>
        </w:rPr>
        <w:t xml:space="preserve"> </w:t>
      </w:r>
      <w:r w:rsidRPr="009F549F">
        <w:rPr>
          <w:rFonts w:eastAsia="Century Schoolbook"/>
        </w:rPr>
        <w:t>might never be received, the Code’s default rule is that they are taxed when they vest, when they “are not subject to a substantial risk of forfeiture.”</w:t>
      </w:r>
      <w:r w:rsidRPr="009F549F">
        <w:rPr>
          <w:rFonts w:eastAsia="Century Schoolbook"/>
          <w:vertAlign w:val="superscript"/>
        </w:rPr>
        <w:footnoteReference w:id="224"/>
      </w:r>
      <w:r w:rsidRPr="009F549F">
        <w:rPr>
          <w:rFonts w:eastAsia="Century Schoolbook"/>
        </w:rPr>
        <w:t xml:space="preserve"> Yet a taxpayer can choose to be taxed </w:t>
      </w:r>
      <w:r w:rsidR="0051412A">
        <w:rPr>
          <w:rFonts w:eastAsia="Century Schoolbook"/>
        </w:rPr>
        <w:t xml:space="preserve">on the shares </w:t>
      </w:r>
      <w:r w:rsidRPr="009F549F">
        <w:rPr>
          <w:rFonts w:eastAsia="Century Schoolbook"/>
        </w:rPr>
        <w:t>when granted</w:t>
      </w:r>
      <w:r w:rsidR="00E40706" w:rsidRPr="00036097">
        <w:rPr>
          <w:rFonts w:eastAsia="Century Schoolbook"/>
        </w:rPr>
        <w:t>—</w:t>
      </w:r>
      <w:r w:rsidRPr="009F549F">
        <w:rPr>
          <w:rFonts w:eastAsia="Century Schoolbook"/>
        </w:rPr>
        <w:t>before they vest</w:t>
      </w:r>
      <w:r w:rsidR="00E40706" w:rsidRPr="00036097">
        <w:rPr>
          <w:rFonts w:eastAsia="Century Schoolbook"/>
        </w:rPr>
        <w:t>—</w:t>
      </w:r>
      <w:r w:rsidRPr="009F549F">
        <w:rPr>
          <w:rFonts w:eastAsia="Century Schoolbook"/>
        </w:rPr>
        <w:t>on</w:t>
      </w:r>
      <w:r w:rsidRPr="00036097">
        <w:rPr>
          <w:rFonts w:eastAsia="Century Schoolbook"/>
        </w:rPr>
        <w:t xml:space="preserve"> </w:t>
      </w:r>
      <w:r w:rsidR="00542CC8">
        <w:rPr>
          <w:rFonts w:eastAsia="Century Schoolbook"/>
        </w:rPr>
        <w:t>the</w:t>
      </w:r>
      <w:r w:rsidR="00542CC8" w:rsidRPr="009F549F">
        <w:rPr>
          <w:rFonts w:eastAsia="Century Schoolbook"/>
        </w:rPr>
        <w:t xml:space="preserve"> </w:t>
      </w:r>
      <w:r w:rsidRPr="009F549F">
        <w:rPr>
          <w:rFonts w:eastAsia="Century Schoolbook"/>
        </w:rPr>
        <w:t>“fair market value of such property at the time of transfer.”</w:t>
      </w:r>
      <w:r w:rsidRPr="009F549F">
        <w:rPr>
          <w:rFonts w:eastAsia="Century Schoolbook"/>
          <w:vertAlign w:val="superscript"/>
        </w:rPr>
        <w:footnoteReference w:id="225"/>
      </w:r>
      <w:r w:rsidRPr="009F549F">
        <w:rPr>
          <w:rFonts w:eastAsia="Century Schoolbook"/>
        </w:rPr>
        <w:t xml:space="preserve"> In other words, the taxpayer can </w:t>
      </w:r>
      <w:r w:rsidR="00542CC8">
        <w:rPr>
          <w:rFonts w:eastAsia="Century Schoolbook"/>
        </w:rPr>
        <w:t xml:space="preserve">either </w:t>
      </w:r>
      <w:r w:rsidRPr="009F549F">
        <w:rPr>
          <w:rFonts w:eastAsia="Century Schoolbook"/>
        </w:rPr>
        <w:t xml:space="preserve">choose (counterfactually) to treat the </w:t>
      </w:r>
      <w:r w:rsidR="0051412A">
        <w:rPr>
          <w:rFonts w:eastAsia="Century Schoolbook"/>
        </w:rPr>
        <w:t>shares as theirs</w:t>
      </w:r>
      <w:r w:rsidRPr="009F549F">
        <w:rPr>
          <w:rFonts w:eastAsia="Century Schoolbook"/>
        </w:rPr>
        <w:t xml:space="preserve"> or choose deferral, which might or might not turn out to cost more.</w:t>
      </w:r>
    </w:p>
    <w:p w14:paraId="732DBE21" w14:textId="787EA243" w:rsidR="007B1344" w:rsidRPr="009F549F" w:rsidRDefault="002347BA">
      <w:pPr>
        <w:spacing w:before="240" w:after="240"/>
        <w:ind w:firstLine="720"/>
        <w:jc w:val="both"/>
        <w:rPr>
          <w:rFonts w:eastAsia="Century Schoolbook"/>
        </w:rPr>
      </w:pPr>
      <w:r w:rsidRPr="009F549F">
        <w:rPr>
          <w:rFonts w:eastAsia="Century Schoolbook"/>
        </w:rPr>
        <w:t>To be sure, the</w:t>
      </w:r>
      <w:r w:rsidRPr="00036097">
        <w:rPr>
          <w:rFonts w:eastAsia="Century Schoolbook"/>
        </w:rPr>
        <w:t xml:space="preserve"> </w:t>
      </w:r>
      <w:r w:rsidR="00E40706" w:rsidRPr="00036097">
        <w:rPr>
          <w:rFonts w:eastAsia="Century Schoolbook"/>
        </w:rPr>
        <w:t>section</w:t>
      </w:r>
      <w:r w:rsidR="00E40706" w:rsidRPr="009F549F">
        <w:rPr>
          <w:rFonts w:eastAsia="Century Schoolbook"/>
        </w:rPr>
        <w:t xml:space="preserve"> </w:t>
      </w:r>
      <w:r w:rsidRPr="009F549F">
        <w:rPr>
          <w:rFonts w:eastAsia="Century Schoolbook"/>
        </w:rPr>
        <w:t xml:space="preserve">83(b) election has been criticized because </w:t>
      </w:r>
      <w:r w:rsidR="001714EA">
        <w:rPr>
          <w:rFonts w:eastAsia="Century Schoolbook"/>
        </w:rPr>
        <w:t>it appears that</w:t>
      </w:r>
      <w:r w:rsidR="001714EA" w:rsidRPr="009F549F">
        <w:rPr>
          <w:rFonts w:eastAsia="Century Schoolbook"/>
        </w:rPr>
        <w:t xml:space="preserve"> </w:t>
      </w:r>
      <w:r w:rsidRPr="009F549F">
        <w:rPr>
          <w:rFonts w:eastAsia="Century Schoolbook"/>
        </w:rPr>
        <w:t>few taxpayers opt for the election as to property in a public company with known values.</w:t>
      </w:r>
      <w:r w:rsidRPr="009F549F">
        <w:rPr>
          <w:rFonts w:eastAsia="Century Schoolbook"/>
          <w:vertAlign w:val="superscript"/>
        </w:rPr>
        <w:footnoteReference w:id="226"/>
      </w:r>
      <w:r w:rsidRPr="009F549F">
        <w:rPr>
          <w:rFonts w:eastAsia="Century Schoolbook"/>
        </w:rPr>
        <w:t xml:space="preserve"> Rather, taxpayers tend to opt for the election as to </w:t>
      </w:r>
      <w:proofErr w:type="spellStart"/>
      <w:r w:rsidRPr="009F549F">
        <w:rPr>
          <w:rFonts w:eastAsia="Century Schoolbook"/>
        </w:rPr>
        <w:t>nonvested</w:t>
      </w:r>
      <w:proofErr w:type="spellEnd"/>
      <w:r w:rsidRPr="009F549F">
        <w:rPr>
          <w:rFonts w:eastAsia="Century Schoolbook"/>
        </w:rPr>
        <w:t xml:space="preserve"> property in start-ups when the values are not known and there can be a big upside.</w:t>
      </w:r>
      <w:r w:rsidRPr="009F549F">
        <w:rPr>
          <w:rFonts w:eastAsia="Century Schoolbook"/>
          <w:vertAlign w:val="superscript"/>
        </w:rPr>
        <w:footnoteReference w:id="227"/>
      </w:r>
      <w:r w:rsidRPr="009F549F">
        <w:rPr>
          <w:rFonts w:eastAsia="Century Schoolbook"/>
        </w:rPr>
        <w:t xml:space="preserve"> </w:t>
      </w:r>
      <w:r w:rsidRPr="009F549F">
        <w:rPr>
          <w:rFonts w:eastAsia="Century Schoolbook"/>
        </w:rPr>
        <w:lastRenderedPageBreak/>
        <w:t xml:space="preserve">But this does not change the fact that taxpayers are offered an option and that the provision of this option serves as a form of information-generating rule. </w:t>
      </w:r>
      <w:r w:rsidR="00542CC8">
        <w:rPr>
          <w:rFonts w:eastAsia="Century Schoolbook"/>
        </w:rPr>
        <w:t>Ultimately, w</w:t>
      </w:r>
      <w:r w:rsidRPr="009F549F">
        <w:rPr>
          <w:rFonts w:eastAsia="Century Schoolbook"/>
        </w:rPr>
        <w:t>e are not especially concerned with whether many or few taxpayers opt for ULTRAs or instead for the alternative take-it-or-leave-it valuation option when given such a choice.</w:t>
      </w:r>
      <w:r w:rsidRPr="009F549F">
        <w:rPr>
          <w:rFonts w:eastAsia="Century Schoolbook"/>
          <w:vertAlign w:val="superscript"/>
        </w:rPr>
        <w:footnoteReference w:id="228"/>
      </w:r>
    </w:p>
    <w:p w14:paraId="3CE3EAB4" w14:textId="457EE447" w:rsidR="007B1344" w:rsidRPr="009F549F" w:rsidRDefault="002347BA">
      <w:pPr>
        <w:spacing w:before="240" w:after="240"/>
        <w:jc w:val="both"/>
        <w:rPr>
          <w:rFonts w:eastAsia="Century Schoolbook"/>
        </w:rPr>
      </w:pPr>
      <w:r w:rsidRPr="009F549F">
        <w:rPr>
          <w:rFonts w:eastAsia="Century Schoolbook"/>
        </w:rPr>
        <w:t xml:space="preserve"> </w:t>
      </w:r>
      <w:r w:rsidRPr="009F549F">
        <w:rPr>
          <w:rFonts w:eastAsia="Century Schoolbook"/>
        </w:rPr>
        <w:tab/>
        <w:t xml:space="preserve">Rather, by offering taxpayers the ULTRA option, we can mitigate the due process concerns of the take-it-or-leave-it valuation option without permitting taxpayers to engage in the aggressive disputes and litigation that would otherwise make </w:t>
      </w:r>
      <w:r w:rsidR="00542CC8">
        <w:rPr>
          <w:rFonts w:eastAsia="Century Schoolbook"/>
        </w:rPr>
        <w:t>that</w:t>
      </w:r>
      <w:r w:rsidRPr="009F549F">
        <w:rPr>
          <w:rFonts w:eastAsia="Century Schoolbook"/>
        </w:rPr>
        <w:t xml:space="preserve"> option overly vulnerable to gaming. Simultaneously, by offering the take-it-or-leave-it alternative valuation option, we provide a mechanism for making noncash withdrawals from an ULTRA without opening the ULTRA regime up to excessive valuation-based gaming.</w:t>
      </w:r>
      <w:r w:rsidRPr="009F549F">
        <w:rPr>
          <w:rFonts w:eastAsia="Century Schoolbook"/>
          <w:vertAlign w:val="superscript"/>
        </w:rPr>
        <w:footnoteReference w:id="229"/>
      </w:r>
    </w:p>
    <w:p w14:paraId="0EAFD8D4" w14:textId="47732514" w:rsidR="007B1344" w:rsidRPr="009F549F" w:rsidRDefault="002347BA">
      <w:pPr>
        <w:spacing w:before="240" w:after="240"/>
        <w:jc w:val="both"/>
        <w:rPr>
          <w:rFonts w:eastAsia="Century Schoolbook"/>
        </w:rPr>
      </w:pPr>
      <w:r w:rsidRPr="009F549F">
        <w:rPr>
          <w:rFonts w:eastAsia="Century Schoolbook"/>
        </w:rPr>
        <w:lastRenderedPageBreak/>
        <w:t xml:space="preserve"> </w:t>
      </w:r>
      <w:r w:rsidRPr="009F549F">
        <w:rPr>
          <w:rFonts w:eastAsia="Century Schoolbook"/>
        </w:rPr>
        <w:tab/>
        <w:t>Returning to our initial example, consider if Shari Shareholder decides to bequeath her shares to her heirs and if her heirs then decide to keep holding those shares rather than selling them for cash. Each of Shari’s heirs could then be presented with the election of either continuing to maintain the inherited shares with an ULTRA attached (effectively also then inheriting the notional equity interest owed to the government for those shares)</w:t>
      </w:r>
      <w:r w:rsidRPr="009F549F">
        <w:rPr>
          <w:rFonts w:eastAsia="Century Schoolbook"/>
          <w:vertAlign w:val="superscript"/>
        </w:rPr>
        <w:footnoteReference w:id="230"/>
      </w:r>
      <w:r w:rsidRPr="009F549F">
        <w:rPr>
          <w:rFonts w:eastAsia="Century Schoolbook"/>
        </w:rPr>
        <w:t xml:space="preserve"> or else triggering the alternative take-it-or-leave-it valuation regime (and thereby accepting the valuation assessment so determined). In other words, the heirs would not have the option of providing their own valuations for the shares because this is what opens the door to excessive gaming. Instead, due process concerns would be addressed by giving the heirs the option of </w:t>
      </w:r>
      <w:r w:rsidRPr="00036097">
        <w:rPr>
          <w:rFonts w:eastAsia="Century Schoolbook"/>
        </w:rPr>
        <w:t>maintain</w:t>
      </w:r>
      <w:r w:rsidR="0020437A">
        <w:rPr>
          <w:rFonts w:eastAsia="Century Schoolbook"/>
        </w:rPr>
        <w:t>ing</w:t>
      </w:r>
      <w:r w:rsidRPr="009F549F">
        <w:rPr>
          <w:rFonts w:eastAsia="Century Schoolbook"/>
        </w:rPr>
        <w:t xml:space="preserve"> the inherited shares within an ULTRA rather than accepting the alternative take-it-or-leave-it valuation option.</w:t>
      </w:r>
    </w:p>
    <w:p w14:paraId="0B1E03E7" w14:textId="2D5EC112" w:rsidR="007B1344" w:rsidRPr="009F549F" w:rsidRDefault="002347BA">
      <w:pPr>
        <w:spacing w:before="240" w:after="240"/>
        <w:jc w:val="both"/>
        <w:rPr>
          <w:rFonts w:eastAsia="Century Schoolbook"/>
        </w:rPr>
      </w:pPr>
      <w:r w:rsidRPr="009F549F">
        <w:rPr>
          <w:rFonts w:eastAsia="Century Schoolbook"/>
        </w:rPr>
        <w:tab/>
        <w:t xml:space="preserve">In this </w:t>
      </w:r>
      <w:r w:rsidRPr="00036097">
        <w:rPr>
          <w:rFonts w:eastAsia="Century Schoolbook"/>
        </w:rPr>
        <w:t>sp</w:t>
      </w:r>
      <w:r w:rsidR="0020437A">
        <w:rPr>
          <w:rFonts w:eastAsia="Century Schoolbook"/>
        </w:rPr>
        <w:t>i</w:t>
      </w:r>
      <w:r w:rsidRPr="00036097">
        <w:rPr>
          <w:rFonts w:eastAsia="Century Schoolbook"/>
        </w:rPr>
        <w:t>rit</w:t>
      </w:r>
      <w:r w:rsidRPr="009F549F">
        <w:rPr>
          <w:rFonts w:eastAsia="Century Schoolbook"/>
        </w:rPr>
        <w:t xml:space="preserve"> of information-generating rules, then, taxpayers like Shari’s heirs should be incentivized to opt for the ULTRA option only to the extent that these taxpayers have genuine valuation or liquidity or similar concerns. To the extent these taxpayers lack such concerns, they should often be better off selecting the alternative take-it-or-leave-it valuation option so as to avoid the restrictions of keeping the assets in an ULTRA and thereby offering the government a notional equity interest in those assets. The tax planning implications of this choice will not typically be </w:t>
      </w:r>
      <w:r w:rsidRPr="00036097">
        <w:rPr>
          <w:rFonts w:eastAsia="Century Schoolbook"/>
        </w:rPr>
        <w:t>clear</w:t>
      </w:r>
      <w:r w:rsidR="0020437A">
        <w:rPr>
          <w:rFonts w:eastAsia="Century Schoolbook"/>
        </w:rPr>
        <w:t>-</w:t>
      </w:r>
      <w:r w:rsidRPr="00036097">
        <w:rPr>
          <w:rFonts w:eastAsia="Century Schoolbook"/>
        </w:rPr>
        <w:t>cut</w:t>
      </w:r>
      <w:r w:rsidRPr="009F549F">
        <w:rPr>
          <w:rFonts w:eastAsia="Century Schoolbook"/>
        </w:rPr>
        <w:t xml:space="preserve">, as </w:t>
      </w:r>
      <w:r w:rsidRPr="00036097">
        <w:rPr>
          <w:rFonts w:eastAsia="Century Schoolbook"/>
        </w:rPr>
        <w:t>the</w:t>
      </w:r>
      <w:r w:rsidR="0020437A">
        <w:rPr>
          <w:rFonts w:eastAsia="Century Schoolbook"/>
        </w:rPr>
        <w:t xml:space="preserve">y </w:t>
      </w:r>
      <w:r w:rsidRPr="009F549F">
        <w:rPr>
          <w:rFonts w:eastAsia="Century Schoolbook"/>
        </w:rPr>
        <w:t xml:space="preserve">will depend on the uncertain future growth path of the assets as compared to the assessment of such through the alternative take-it-or-leave-it valuation regime. Thus, taxpayers </w:t>
      </w:r>
      <w:r w:rsidR="001714EA">
        <w:rPr>
          <w:rFonts w:eastAsia="Century Schoolbook"/>
        </w:rPr>
        <w:t xml:space="preserve">in this situation </w:t>
      </w:r>
      <w:r w:rsidRPr="009F549F">
        <w:rPr>
          <w:rFonts w:eastAsia="Century Schoolbook"/>
        </w:rPr>
        <w:t xml:space="preserve">should </w:t>
      </w:r>
      <w:r w:rsidR="001714EA">
        <w:rPr>
          <w:rFonts w:eastAsia="Century Schoolbook"/>
        </w:rPr>
        <w:t xml:space="preserve">find that they </w:t>
      </w:r>
      <w:r w:rsidRPr="009F549F">
        <w:rPr>
          <w:rFonts w:eastAsia="Century Schoolbook"/>
        </w:rPr>
        <w:t xml:space="preserve">face incentives to reveal whether they have genuine valuation or liquidity or similar concerns by </w:t>
      </w:r>
      <w:r w:rsidR="001714EA">
        <w:rPr>
          <w:rFonts w:eastAsia="Century Schoolbook"/>
        </w:rPr>
        <w:t xml:space="preserve">only </w:t>
      </w:r>
      <w:r w:rsidRPr="009F549F">
        <w:rPr>
          <w:rFonts w:eastAsia="Century Schoolbook"/>
        </w:rPr>
        <w:t xml:space="preserve">opting for ULTRAs </w:t>
      </w:r>
      <w:r w:rsidR="001714EA">
        <w:rPr>
          <w:rFonts w:eastAsia="Century Schoolbook"/>
        </w:rPr>
        <w:t>when they have such concerns and</w:t>
      </w:r>
      <w:r w:rsidR="001714EA" w:rsidRPr="009F549F">
        <w:rPr>
          <w:rFonts w:eastAsia="Century Schoolbook"/>
        </w:rPr>
        <w:t xml:space="preserve"> </w:t>
      </w:r>
      <w:r w:rsidRPr="009F549F">
        <w:rPr>
          <w:rFonts w:eastAsia="Century Schoolbook"/>
        </w:rPr>
        <w:t>otherwise opting for the alternative take-it-or-leave-it valuation regime</w:t>
      </w:r>
      <w:r w:rsidR="00AA1692">
        <w:rPr>
          <w:rFonts w:ascii="Century Schoolbook" w:eastAsia="Century Schoolbook" w:hAnsi="Century Schoolbook" w:cs="Century Schoolbook"/>
        </w:rPr>
        <w:t xml:space="preserve">. </w:t>
      </w:r>
      <w:r w:rsidRPr="009F549F">
        <w:rPr>
          <w:rFonts w:eastAsia="Century Schoolbook"/>
        </w:rPr>
        <w:t xml:space="preserve">    </w:t>
      </w:r>
    </w:p>
    <w:p w14:paraId="198861F4" w14:textId="77777777" w:rsidR="007B1344" w:rsidRPr="009F549F" w:rsidRDefault="002347BA">
      <w:pPr>
        <w:pStyle w:val="Heading2"/>
        <w:rPr>
          <w:rFonts w:ascii="Times New Roman" w:hAnsi="Times New Roman"/>
          <w:i/>
          <w:sz w:val="24"/>
        </w:rPr>
      </w:pPr>
      <w:bookmarkStart w:id="134" w:name="_Ref119423928"/>
      <w:bookmarkStart w:id="135" w:name="_Toc115088941"/>
      <w:bookmarkStart w:id="136" w:name="_Toc120019837"/>
      <w:r w:rsidRPr="009F549F">
        <w:rPr>
          <w:rFonts w:ascii="Times New Roman" w:hAnsi="Times New Roman"/>
          <w:i/>
          <w:sz w:val="24"/>
        </w:rPr>
        <w:lastRenderedPageBreak/>
        <w:t>E. Comparing the ULTRA Solution to Alternatives</w:t>
      </w:r>
      <w:bookmarkEnd w:id="134"/>
      <w:bookmarkEnd w:id="135"/>
      <w:bookmarkEnd w:id="136"/>
    </w:p>
    <w:p w14:paraId="5FAF270D" w14:textId="6CB5F32D" w:rsidR="007879DA" w:rsidRPr="009F549F" w:rsidRDefault="002347BA">
      <w:pPr>
        <w:spacing w:before="240" w:after="240"/>
        <w:ind w:firstLine="720"/>
        <w:jc w:val="both"/>
        <w:rPr>
          <w:rFonts w:eastAsia="Century Schoolbook"/>
        </w:rPr>
      </w:pPr>
      <w:bookmarkStart w:id="137" w:name="_37m2jsg" w:colFirst="0" w:colLast="0"/>
      <w:bookmarkEnd w:id="137"/>
      <w:r w:rsidRPr="009F549F">
        <w:rPr>
          <w:rFonts w:eastAsia="Century Schoolbook"/>
        </w:rPr>
        <w:t>In Part II, we explained the limitations and weaknesses of existing valuation methods. Our proposed ULTRA method is a hybrid</w:t>
      </w:r>
      <w:r w:rsidR="009262AD">
        <w:rPr>
          <w:rFonts w:eastAsia="Century Schoolbook"/>
        </w:rPr>
        <w:t xml:space="preserve"> </w:t>
      </w:r>
      <w:r w:rsidRPr="009F549F">
        <w:rPr>
          <w:rFonts w:eastAsia="Century Schoolbook"/>
        </w:rPr>
        <w:t xml:space="preserve">designed to take advantage of the distinct strengths of each of these prior approaches while minimizing their weaknesses. To that end, the </w:t>
      </w:r>
      <w:r w:rsidRPr="00036097">
        <w:rPr>
          <w:rFonts w:eastAsia="Century Schoolbook"/>
        </w:rPr>
        <w:t>ULTRA</w:t>
      </w:r>
      <w:r w:rsidR="00C81A0C" w:rsidRPr="00036097">
        <w:rPr>
          <w:rFonts w:eastAsia="Century Schoolbook"/>
        </w:rPr>
        <w:t>s</w:t>
      </w:r>
      <w:r w:rsidRPr="009F549F">
        <w:rPr>
          <w:rFonts w:eastAsia="Century Schoolbook"/>
        </w:rPr>
        <w:t xml:space="preserve"> can be used to supplement and backstop these prior approaches, </w:t>
      </w:r>
      <w:r w:rsidRPr="00036097">
        <w:rPr>
          <w:rFonts w:eastAsia="Century Schoolbook"/>
        </w:rPr>
        <w:t>plug</w:t>
      </w:r>
      <w:r w:rsidR="00C81A0C" w:rsidRPr="00036097">
        <w:rPr>
          <w:rFonts w:eastAsia="Century Schoolbook"/>
        </w:rPr>
        <w:t>g</w:t>
      </w:r>
      <w:r w:rsidR="00BF6381" w:rsidRPr="00036097">
        <w:rPr>
          <w:rFonts w:eastAsia="Century Schoolbook"/>
        </w:rPr>
        <w:t>i</w:t>
      </w:r>
      <w:r w:rsidR="00C81A0C" w:rsidRPr="00036097">
        <w:rPr>
          <w:rFonts w:eastAsia="Century Schoolbook"/>
        </w:rPr>
        <w:t>ng</w:t>
      </w:r>
      <w:r w:rsidRPr="009F549F">
        <w:rPr>
          <w:rFonts w:eastAsia="Century Schoolbook"/>
        </w:rPr>
        <w:t xml:space="preserve"> the major holes that </w:t>
      </w:r>
      <w:r w:rsidR="009262AD">
        <w:rPr>
          <w:rFonts w:eastAsia="Century Schoolbook"/>
        </w:rPr>
        <w:t xml:space="preserve">none of them can </w:t>
      </w:r>
      <w:r w:rsidRPr="009F549F">
        <w:rPr>
          <w:rFonts w:eastAsia="Century Schoolbook"/>
        </w:rPr>
        <w:t xml:space="preserve">adequately </w:t>
      </w:r>
      <w:r w:rsidR="009262AD">
        <w:rPr>
          <w:rFonts w:eastAsia="Century Schoolbook"/>
        </w:rPr>
        <w:t>deal with</w:t>
      </w:r>
      <w:r w:rsidR="001033B4">
        <w:rPr>
          <w:rFonts w:eastAsia="Century Schoolbook"/>
        </w:rPr>
        <w:t xml:space="preserve"> alone</w:t>
      </w:r>
      <w:r w:rsidR="009262AD">
        <w:rPr>
          <w:rFonts w:eastAsia="Century Schoolbook"/>
        </w:rPr>
        <w:t>.</w:t>
      </w:r>
    </w:p>
    <w:p w14:paraId="2022877D" w14:textId="7AA16179" w:rsidR="007B1344" w:rsidRPr="009F549F" w:rsidRDefault="002347BA">
      <w:pPr>
        <w:spacing w:before="240" w:after="240"/>
        <w:ind w:firstLine="720"/>
        <w:jc w:val="both"/>
        <w:rPr>
          <w:rFonts w:eastAsia="Century Schoolbook"/>
        </w:rPr>
      </w:pPr>
      <w:r w:rsidRPr="009F549F">
        <w:rPr>
          <w:rFonts w:eastAsia="Century Schoolbook"/>
        </w:rPr>
        <w:t xml:space="preserve">To begin, </w:t>
      </w:r>
      <w:r w:rsidR="00453FC4" w:rsidRPr="00C43C1B">
        <w:rPr>
          <w:rFonts w:eastAsia="Century Schoolbook"/>
        </w:rPr>
        <w:t xml:space="preserve">we argue that ULTRAs </w:t>
      </w:r>
      <w:r w:rsidR="00453FC4">
        <w:rPr>
          <w:rFonts w:eastAsia="Century Schoolbook"/>
        </w:rPr>
        <w:t xml:space="preserve">are </w:t>
      </w:r>
      <w:r w:rsidR="00453FC4" w:rsidRPr="00C43C1B">
        <w:rPr>
          <w:rFonts w:eastAsia="Century Schoolbook"/>
        </w:rPr>
        <w:t>an improvement over the leading retrospective proposals</w:t>
      </w:r>
      <w:commentRangeStart w:id="138"/>
      <w:commentRangeEnd w:id="138"/>
      <w:r w:rsidR="00453FC4">
        <w:rPr>
          <w:rFonts w:eastAsia="Century Schoolbook"/>
        </w:rPr>
        <w:t xml:space="preserve"> </w:t>
      </w:r>
      <w:r w:rsidRPr="009F549F">
        <w:rPr>
          <w:rFonts w:eastAsia="Century Schoolbook"/>
        </w:rPr>
        <w:t xml:space="preserve">because </w:t>
      </w:r>
      <w:r w:rsidR="00453FC4">
        <w:rPr>
          <w:rFonts w:eastAsia="Century Schoolbook"/>
        </w:rPr>
        <w:t xml:space="preserve">they </w:t>
      </w:r>
      <w:r w:rsidRPr="009F549F">
        <w:rPr>
          <w:rFonts w:eastAsia="Century Schoolbook"/>
        </w:rPr>
        <w:t xml:space="preserve">effectively impose a retrospective charge that matches the growth </w:t>
      </w:r>
      <w:r w:rsidR="00D44A22">
        <w:rPr>
          <w:rFonts w:eastAsia="Century Schoolbook"/>
        </w:rPr>
        <w:t xml:space="preserve">rate </w:t>
      </w:r>
      <w:r w:rsidRPr="009F549F">
        <w:rPr>
          <w:rFonts w:eastAsia="Century Schoolbook"/>
        </w:rPr>
        <w:t>of the asset itself,.</w:t>
      </w:r>
      <w:r w:rsidR="007879DA" w:rsidRPr="009F549F">
        <w:rPr>
          <w:rStyle w:val="FootnoteReference"/>
          <w:rFonts w:eastAsia="Century Schoolbook"/>
        </w:rPr>
        <w:footnoteReference w:id="231"/>
      </w:r>
      <w:r w:rsidRPr="009F549F">
        <w:rPr>
          <w:rFonts w:eastAsia="Century Schoolbook"/>
        </w:rPr>
        <w:t xml:space="preserve">  Furthermore, ULTRAs can be used for hard-to-value assets and thus can supplement lamppost or formulaic methods without creating substantial incentives for taxpayers to switch between assets covered by the ULTRA rules and those subject to other forms of valuation.</w:t>
      </w:r>
      <w:r w:rsidR="00950B92" w:rsidRPr="009F549F">
        <w:rPr>
          <w:rStyle w:val="FootnoteReference"/>
          <w:rFonts w:eastAsia="Century Schoolbook"/>
        </w:rPr>
        <w:footnoteReference w:id="232"/>
      </w:r>
    </w:p>
    <w:p w14:paraId="67B48293" w14:textId="70C5E8F6" w:rsidR="007B1344" w:rsidRPr="009F549F" w:rsidRDefault="002347BA">
      <w:pPr>
        <w:spacing w:before="240" w:after="240"/>
        <w:ind w:firstLine="720"/>
        <w:jc w:val="both"/>
        <w:rPr>
          <w:rFonts w:eastAsia="Century Schoolbook"/>
        </w:rPr>
      </w:pPr>
      <w:r w:rsidRPr="009F549F">
        <w:rPr>
          <w:rFonts w:eastAsia="Century Schoolbook"/>
        </w:rPr>
        <w:t>In a sense, the ULTRA solution implements a variation on Land’s retrospective tax proposal because the ULTRA’s notional equity interest effectively charges an interest rate equal to the internal rate of return of the asset in a similar manner to Land’s yield-based retrospective method.</w:t>
      </w:r>
      <w:r w:rsidR="00950B92" w:rsidRPr="009F549F">
        <w:rPr>
          <w:rStyle w:val="FootnoteReference"/>
          <w:rFonts w:eastAsia="Century Schoolbook"/>
        </w:rPr>
        <w:footnoteReference w:id="233"/>
      </w:r>
      <w:r w:rsidRPr="009F549F">
        <w:rPr>
          <w:rFonts w:eastAsia="Century Schoolbook"/>
        </w:rPr>
        <w:t xml:space="preserve"> However, the ULTRA method then solves critical implementation problems of Land’s proposal through a separated</w:t>
      </w:r>
      <w:r w:rsidR="00D44A22">
        <w:rPr>
          <w:rFonts w:eastAsia="Century Schoolbook"/>
        </w:rPr>
        <w:t>-</w:t>
      </w:r>
      <w:r w:rsidRPr="009F549F">
        <w:rPr>
          <w:rFonts w:eastAsia="Century Schoolbook"/>
        </w:rPr>
        <w:t>accounts methodology that, at any given point in time, generates a single percentage figure for the government’s notional equity interest in the assets to which the ULTRA is attached.</w:t>
      </w:r>
      <w:r w:rsidR="00066E7A" w:rsidRPr="009F549F">
        <w:rPr>
          <w:rStyle w:val="FootnoteReference"/>
          <w:rFonts w:eastAsia="Century Schoolbook"/>
        </w:rPr>
        <w:footnoteReference w:id="234"/>
      </w:r>
      <w:r w:rsidRPr="009F549F">
        <w:rPr>
          <w:rFonts w:eastAsia="Century Schoolbook"/>
        </w:rPr>
        <w:t xml:space="preserve"> The ULTRA method thereby readily manages the problems caused by contributions, partial withdrawals, and deemed withdrawals—</w:t>
      </w:r>
      <w:r w:rsidRPr="009F549F">
        <w:rPr>
          <w:rFonts w:eastAsia="Century Schoolbook"/>
        </w:rPr>
        <w:lastRenderedPageBreak/>
        <w:t>problems that Land’s original proposal cannot manage without creating what has been called “unworkable administrative complexity</w:t>
      </w:r>
      <w:r w:rsidR="00466836" w:rsidRPr="00036097">
        <w:rPr>
          <w:rFonts w:eastAsia="Century Schoolbook"/>
        </w:rPr>
        <w:t>.</w:t>
      </w:r>
      <w:r w:rsidRPr="00036097">
        <w:rPr>
          <w:rFonts w:eastAsia="Century Schoolbook"/>
        </w:rPr>
        <w:t>”</w:t>
      </w:r>
      <w:r w:rsidRPr="009F549F">
        <w:rPr>
          <w:rFonts w:eastAsia="Century Schoolbook"/>
          <w:vertAlign w:val="superscript"/>
        </w:rPr>
        <w:footnoteReference w:id="235"/>
      </w:r>
      <w:r w:rsidRPr="009F549F">
        <w:rPr>
          <w:rFonts w:eastAsia="Century Schoolbook"/>
        </w:rPr>
        <w:t xml:space="preserve"> </w:t>
      </w:r>
    </w:p>
    <w:p w14:paraId="13023C23" w14:textId="38DC9EED" w:rsidR="007B1344" w:rsidRPr="009F549F" w:rsidRDefault="00D44A22">
      <w:pPr>
        <w:spacing w:before="240" w:after="240"/>
        <w:ind w:firstLine="720"/>
        <w:jc w:val="both"/>
        <w:rPr>
          <w:rFonts w:eastAsia="Century Schoolbook"/>
        </w:rPr>
      </w:pPr>
      <w:r>
        <w:rPr>
          <w:rFonts w:eastAsia="Century Schoolbook"/>
        </w:rPr>
        <w:t>In</w:t>
      </w:r>
      <w:r w:rsidR="002347BA" w:rsidRPr="009F549F">
        <w:rPr>
          <w:rFonts w:eastAsia="Century Schoolbook"/>
        </w:rPr>
        <w:t xml:space="preserve"> contrast to in-kind taxation,</w:t>
      </w:r>
      <w:r w:rsidR="00066E7A" w:rsidRPr="009F549F">
        <w:rPr>
          <w:rStyle w:val="FootnoteReference"/>
          <w:rFonts w:eastAsia="Century Schoolbook"/>
        </w:rPr>
        <w:footnoteReference w:id="236"/>
      </w:r>
      <w:r w:rsidR="002347BA" w:rsidRPr="009F549F">
        <w:rPr>
          <w:rFonts w:eastAsia="Century Schoolbook"/>
        </w:rPr>
        <w:t xml:space="preserve"> the ULTRA method does not involve the government taking any actual equity interests or control rights (beyond those that the government already exercises to enforce corporate and personal income taxes), and so the political</w:t>
      </w:r>
      <w:r w:rsidR="00CE40B5" w:rsidRPr="00036097">
        <w:rPr>
          <w:rFonts w:eastAsia="Century Schoolbook"/>
        </w:rPr>
        <w:t xml:space="preserve"> </w:t>
      </w:r>
      <w:r w:rsidR="002347BA" w:rsidRPr="009F549F">
        <w:rPr>
          <w:rFonts w:eastAsia="Century Schoolbook"/>
        </w:rPr>
        <w:t>economy problems of in-kind taxation are avoided. Nevertheless, because the ULTRA is an actual asset of the government, it will likely be more difficult to legislate away than other future tax liabilities, reducing political optionality. Consider that federal budgeting rules generally measure the cost of legislation only over a ten-year budget window.</w:t>
      </w:r>
      <w:r w:rsidR="002347BA" w:rsidRPr="009F549F">
        <w:rPr>
          <w:rFonts w:eastAsia="Century Schoolbook"/>
          <w:vertAlign w:val="superscript"/>
        </w:rPr>
        <w:footnoteReference w:id="237"/>
      </w:r>
      <w:r w:rsidR="002347BA" w:rsidRPr="009F549F">
        <w:rPr>
          <w:rFonts w:eastAsia="Century Schoolbook"/>
        </w:rPr>
        <w:t xml:space="preserve"> </w:t>
      </w:r>
      <w:r w:rsidR="002347BA" w:rsidRPr="00036097">
        <w:rPr>
          <w:rFonts w:eastAsia="Century Schoolbook"/>
        </w:rPr>
        <w:t>It</w:t>
      </w:r>
      <w:r w:rsidR="00674C5A" w:rsidRPr="00036097">
        <w:rPr>
          <w:rFonts w:eastAsia="Century Schoolbook"/>
        </w:rPr>
        <w:t xml:space="preserve"> i</w:t>
      </w:r>
      <w:r w:rsidR="002347BA" w:rsidRPr="00036097">
        <w:rPr>
          <w:rFonts w:eastAsia="Century Schoolbook"/>
        </w:rPr>
        <w:t>s</w:t>
      </w:r>
      <w:r w:rsidR="002347BA" w:rsidRPr="009F549F">
        <w:rPr>
          <w:rFonts w:eastAsia="Century Schoolbook"/>
        </w:rPr>
        <w:t xml:space="preserve"> widely understood that considering only this limited time horizon helps to hide much of the long-term cost of “reforms” that reduce the effective tax rate on investments.</w:t>
      </w:r>
      <w:r w:rsidR="002347BA" w:rsidRPr="009F549F">
        <w:rPr>
          <w:rFonts w:eastAsia="Century Schoolbook"/>
          <w:vertAlign w:val="superscript"/>
        </w:rPr>
        <w:footnoteReference w:id="238"/>
      </w:r>
      <w:r w:rsidR="002347BA" w:rsidRPr="009F549F">
        <w:rPr>
          <w:rFonts w:eastAsia="Century Schoolbook"/>
        </w:rPr>
        <w:t xml:space="preserve"> In contrast, under current budget rules, when Congress acts to reduce the value of a “direct loan,” such as the ULTRA contract, the full loss in value is budgeted immediately.</w:t>
      </w:r>
      <w:r w:rsidR="002347BA" w:rsidRPr="009F549F">
        <w:rPr>
          <w:rFonts w:eastAsia="Century Schoolbook"/>
          <w:vertAlign w:val="superscript"/>
        </w:rPr>
        <w:footnoteReference w:id="239"/>
      </w:r>
      <w:r w:rsidR="002347BA" w:rsidRPr="009F549F">
        <w:rPr>
          <w:rFonts w:eastAsia="Century Schoolbook"/>
        </w:rPr>
        <w:t xml:space="preserve"> Thus, in order to give away tax revenues represented by ULTRA claims, Congress </w:t>
      </w:r>
      <w:r w:rsidR="002347BA" w:rsidRPr="009F549F">
        <w:rPr>
          <w:rFonts w:eastAsia="Century Schoolbook"/>
        </w:rPr>
        <w:lastRenderedPageBreak/>
        <w:t>would at least have to account transparently for that decision, and perhaps face some of the procedural hurdles that come with increased expenditures.</w:t>
      </w:r>
      <w:r w:rsidR="002347BA" w:rsidRPr="009F549F">
        <w:rPr>
          <w:rFonts w:eastAsia="Century Schoolbook"/>
          <w:vertAlign w:val="superscript"/>
        </w:rPr>
        <w:footnoteReference w:id="240"/>
      </w:r>
    </w:p>
    <w:p w14:paraId="57C9D26C" w14:textId="5A449C88" w:rsidR="007B1344" w:rsidRPr="009F549F" w:rsidRDefault="002347BA">
      <w:pPr>
        <w:spacing w:before="240" w:after="240"/>
        <w:ind w:firstLine="720"/>
        <w:jc w:val="both"/>
        <w:rPr>
          <w:rFonts w:eastAsia="Century Schoolbook"/>
        </w:rPr>
      </w:pPr>
      <w:r w:rsidRPr="009F549F">
        <w:rPr>
          <w:rFonts w:eastAsia="Century Schoolbook"/>
        </w:rPr>
        <w:t xml:space="preserve">The ULTRA method can further </w:t>
      </w:r>
      <w:r w:rsidR="00C7148C">
        <w:rPr>
          <w:rFonts w:eastAsia="Century Schoolbook"/>
        </w:rPr>
        <w:t>alleviate</w:t>
      </w:r>
      <w:r w:rsidR="00C7148C" w:rsidRPr="009F549F">
        <w:rPr>
          <w:rFonts w:eastAsia="Century Schoolbook"/>
        </w:rPr>
        <w:t xml:space="preserve"> </w:t>
      </w:r>
      <w:r w:rsidRPr="009F549F">
        <w:rPr>
          <w:rFonts w:eastAsia="Century Schoolbook"/>
        </w:rPr>
        <w:t>political optionality problems to the extent that prepayments of estimated taxes are required for taxpayers not facing major liquidity issues.</w:t>
      </w:r>
      <w:r w:rsidRPr="009F549F">
        <w:rPr>
          <w:rFonts w:eastAsia="Century Schoolbook"/>
          <w:vertAlign w:val="superscript"/>
        </w:rPr>
        <w:footnoteReference w:id="241"/>
      </w:r>
      <w:r w:rsidRPr="009F549F">
        <w:rPr>
          <w:rFonts w:eastAsia="Century Schoolbook"/>
        </w:rPr>
        <w:t xml:space="preserve"> There are some tradeoffs here because requiring prepayment of estimated taxes could potentially reduce political support for the ULTRA method.</w:t>
      </w:r>
      <w:r w:rsidRPr="009F549F">
        <w:rPr>
          <w:rFonts w:eastAsia="Century Schoolbook"/>
          <w:vertAlign w:val="superscript"/>
        </w:rPr>
        <w:footnoteReference w:id="242"/>
      </w:r>
      <w:r w:rsidRPr="009F549F">
        <w:rPr>
          <w:rFonts w:eastAsia="Century Schoolbook"/>
        </w:rPr>
        <w:t xml:space="preserve"> However, we think that such concerns can be muted to the extent that prepayment requirements are targeted just at the extremely wealthy and </w:t>
      </w:r>
      <w:r w:rsidR="001714EA">
        <w:rPr>
          <w:rFonts w:eastAsia="Century Schoolbook"/>
        </w:rPr>
        <w:t xml:space="preserve">relatively </w:t>
      </w:r>
      <w:r w:rsidRPr="009F549F">
        <w:rPr>
          <w:rFonts w:eastAsia="Century Schoolbook"/>
        </w:rPr>
        <w:t xml:space="preserve">sophisticated taxpayers </w:t>
      </w:r>
      <w:r w:rsidR="00453FC4">
        <w:rPr>
          <w:rFonts w:eastAsia="Century Schoolbook"/>
        </w:rPr>
        <w:t>who</w:t>
      </w:r>
      <w:r w:rsidR="00453FC4" w:rsidRPr="009F549F">
        <w:rPr>
          <w:rFonts w:eastAsia="Century Schoolbook"/>
        </w:rPr>
        <w:t xml:space="preserve"> </w:t>
      </w:r>
      <w:r w:rsidRPr="009F549F">
        <w:rPr>
          <w:rFonts w:eastAsia="Century Schoolbook"/>
        </w:rPr>
        <w:t>generate most of the problems related to political optionality. We then think that such concerns can be further muted by offering exceptions for tax situations where liquidity</w:t>
      </w:r>
      <w:r w:rsidR="007235CC">
        <w:rPr>
          <w:rFonts w:eastAsia="Century Schoolbook"/>
        </w:rPr>
        <w:t>-</w:t>
      </w:r>
      <w:r w:rsidRPr="009F549F">
        <w:rPr>
          <w:rFonts w:eastAsia="Century Schoolbook"/>
        </w:rPr>
        <w:t xml:space="preserve">related concerns are most salient, such as perhaps </w:t>
      </w:r>
      <w:r w:rsidR="00453FC4">
        <w:rPr>
          <w:rFonts w:eastAsia="Century Schoolbook"/>
        </w:rPr>
        <w:t xml:space="preserve">family farms or </w:t>
      </w:r>
      <w:r w:rsidRPr="009F549F">
        <w:rPr>
          <w:rFonts w:eastAsia="Century Schoolbook"/>
        </w:rPr>
        <w:t>entrepreneurs who have most of their wealth tied</w:t>
      </w:r>
      <w:r w:rsidR="00000C97" w:rsidRPr="00036097">
        <w:rPr>
          <w:rFonts w:eastAsia="Century Schoolbook"/>
        </w:rPr>
        <w:t xml:space="preserve"> </w:t>
      </w:r>
      <w:r w:rsidRPr="009F549F">
        <w:rPr>
          <w:rFonts w:eastAsia="Century Schoolbook"/>
        </w:rPr>
        <w:t xml:space="preserve">up in ownership of early-stage start-up ventures. </w:t>
      </w:r>
    </w:p>
    <w:p w14:paraId="749A4C8D" w14:textId="73D7CC80" w:rsidR="007B1344" w:rsidRPr="009F549F" w:rsidRDefault="002347BA">
      <w:pPr>
        <w:spacing w:before="240" w:after="240"/>
        <w:ind w:firstLine="720"/>
        <w:jc w:val="both"/>
        <w:rPr>
          <w:rFonts w:eastAsia="Century Schoolbook"/>
        </w:rPr>
      </w:pPr>
      <w:r w:rsidRPr="009F549F">
        <w:rPr>
          <w:rFonts w:eastAsia="Century Schoolbook"/>
        </w:rPr>
        <w:t>On the other hand, providing ULTRAs as an option within a</w:t>
      </w:r>
      <w:r>
        <w:rPr>
          <w:rFonts w:ascii="Century Schoolbook" w:eastAsia="Century Schoolbook" w:hAnsi="Century Schoolbook" w:cs="Century Schoolbook"/>
        </w:rPr>
        <w:t xml:space="preserve"> </w:t>
      </w:r>
      <w:r w:rsidR="00FD508D">
        <w:rPr>
          <w:rFonts w:ascii="Century Schoolbook" w:eastAsia="Century Schoolbook" w:hAnsi="Century Schoolbook" w:cs="Century Schoolbook"/>
        </w:rPr>
        <w:t>federal</w:t>
      </w:r>
      <w:r w:rsidRPr="009F549F">
        <w:rPr>
          <w:rFonts w:eastAsia="Century Schoolbook"/>
        </w:rPr>
        <w:t xml:space="preserve"> mark-to-market reform—and without requiring prepayments—is potentially a way to address possible constitutionality concerns.</w:t>
      </w:r>
      <w:r w:rsidRPr="009F549F">
        <w:rPr>
          <w:rFonts w:eastAsia="Century Schoolbook"/>
          <w:vertAlign w:val="superscript"/>
        </w:rPr>
        <w:footnoteReference w:id="243"/>
      </w:r>
      <w:r w:rsidRPr="009F549F">
        <w:rPr>
          <w:rFonts w:eastAsia="Century Schoolbook"/>
        </w:rPr>
        <w:t xml:space="preserve"> Courts have sustained prior tax regimes that offer mark-to-market</w:t>
      </w:r>
      <w:r w:rsidR="00453FC4">
        <w:rPr>
          <w:rFonts w:eastAsia="Century Schoolbook"/>
        </w:rPr>
        <w:t xml:space="preserve"> treatment</w:t>
      </w:r>
      <w:r w:rsidRPr="009F549F">
        <w:rPr>
          <w:rFonts w:eastAsia="Century Schoolbook"/>
        </w:rPr>
        <w:t xml:space="preserve"> as an option that taxpayers can reject in favor of an alternative realization-based deferral option, even when that </w:t>
      </w:r>
      <w:r w:rsidRPr="009F549F">
        <w:rPr>
          <w:rFonts w:eastAsia="Century Schoolbook"/>
        </w:rPr>
        <w:lastRenderedPageBreak/>
        <w:t>alternative realization-based deferral option is designed to be especially robust and strict, as in the case of the PFIC regime.</w:t>
      </w:r>
      <w:r w:rsidRPr="009F549F">
        <w:rPr>
          <w:rFonts w:eastAsia="Century Schoolbook"/>
          <w:vertAlign w:val="superscript"/>
        </w:rPr>
        <w:footnoteReference w:id="244"/>
      </w:r>
      <w:r w:rsidRPr="009F549F">
        <w:rPr>
          <w:rFonts w:eastAsia="Century Schoolbook"/>
        </w:rPr>
        <w:t xml:space="preserve"> Although we do not think that providing a realization-based deferral option (like ULTRAs) should be necessary to sustain the constitutionality of a </w:t>
      </w:r>
      <w:r w:rsidR="00FD508D">
        <w:rPr>
          <w:rFonts w:ascii="Century Schoolbook" w:eastAsia="Century Schoolbook" w:hAnsi="Century Schoolbook" w:cs="Century Schoolbook"/>
        </w:rPr>
        <w:t xml:space="preserve">federal </w:t>
      </w:r>
      <w:r w:rsidRPr="009F549F">
        <w:rPr>
          <w:rFonts w:eastAsia="Century Schoolbook"/>
        </w:rPr>
        <w:t>mark-to-market reform, providing such an option is one approach for mitigating the constitutional uncertainties and may have advantages over other approaches.</w:t>
      </w:r>
      <w:bookmarkStart w:id="139" w:name="_Ref117014360"/>
      <w:r w:rsidRPr="009F549F">
        <w:rPr>
          <w:rFonts w:eastAsia="Century Schoolbook"/>
          <w:vertAlign w:val="superscript"/>
        </w:rPr>
        <w:footnoteReference w:id="245"/>
      </w:r>
      <w:bookmarkEnd w:id="139"/>
      <w:r w:rsidRPr="009F549F">
        <w:rPr>
          <w:rFonts w:eastAsia="Century Schoolbook"/>
        </w:rPr>
        <w:t xml:space="preserve"> </w:t>
      </w:r>
    </w:p>
    <w:p w14:paraId="5E77BCD3" w14:textId="0E1CD36F" w:rsidR="007B1344" w:rsidRPr="009F549F" w:rsidRDefault="002347BA">
      <w:pPr>
        <w:spacing w:before="240" w:after="240"/>
        <w:ind w:firstLine="720"/>
        <w:jc w:val="both"/>
        <w:rPr>
          <w:rFonts w:eastAsia="Century Schoolbook"/>
        </w:rPr>
      </w:pPr>
      <w:r w:rsidRPr="009F549F">
        <w:rPr>
          <w:rFonts w:eastAsia="Century Schoolbook"/>
        </w:rPr>
        <w:t>More generally, experience with the PFIC regime (and with other similar separated</w:t>
      </w:r>
      <w:r w:rsidR="0097792A">
        <w:rPr>
          <w:rFonts w:eastAsia="Century Schoolbook"/>
        </w:rPr>
        <w:t>-</w:t>
      </w:r>
      <w:r w:rsidRPr="009F549F">
        <w:rPr>
          <w:rFonts w:eastAsia="Century Schoolbook"/>
        </w:rPr>
        <w:t>accounts regimes) suggests that providing a strict and robust deferral option like ULTRAs might perhaps suffice to address political optionality concerns even without requiring prepayments of estimated taxes. For this to work, however, it is essential that the ULTRA option be perceived as sufficiently strict that taxpayers should only select the ULTRA option when they have genuine valuation or liquidity or similar concerns, in the spirit of information-generating rules. In other words, it is crucial that the ULTRA election not be viewed as generally being the taxpayer</w:t>
      </w:r>
      <w:r w:rsidR="006306A2">
        <w:rPr>
          <w:rFonts w:eastAsia="Century Schoolbook"/>
        </w:rPr>
        <w:t>-</w:t>
      </w:r>
      <w:r w:rsidRPr="009F549F">
        <w:rPr>
          <w:rFonts w:eastAsia="Century Schoolbook"/>
        </w:rPr>
        <w:t xml:space="preserve">favorable option. For this reason, to the extent that prepayments of estimated taxes are </w:t>
      </w:r>
      <w:r w:rsidRPr="009F549F">
        <w:rPr>
          <w:rFonts w:eastAsia="Century Schoolbook"/>
          <w:i/>
        </w:rPr>
        <w:t>not</w:t>
      </w:r>
      <w:r w:rsidRPr="009F549F">
        <w:rPr>
          <w:rFonts w:eastAsia="Century Schoolbook"/>
        </w:rPr>
        <w:t xml:space="preserve"> required, we would argue that it is especially important to err on the side of designing ULTRAs to be strict and robust, even if this might give rise to some complaints about the ULTRA option potentially being “punitive” as applied to some taxpayers (echoing the complaints that are sometimes made against the PFIC regime).</w:t>
      </w:r>
      <w:bookmarkStart w:id="140" w:name="_Ref117014376"/>
      <w:r w:rsidRPr="009F549F">
        <w:rPr>
          <w:rFonts w:eastAsia="Century Schoolbook"/>
          <w:vertAlign w:val="superscript"/>
        </w:rPr>
        <w:footnoteReference w:id="246"/>
      </w:r>
      <w:bookmarkEnd w:id="140"/>
    </w:p>
    <w:p w14:paraId="3293D161" w14:textId="574611B9" w:rsidR="007B1344" w:rsidRPr="009F549F" w:rsidRDefault="002347BA">
      <w:pPr>
        <w:spacing w:before="240" w:after="240"/>
        <w:ind w:firstLine="720"/>
        <w:jc w:val="both"/>
        <w:rPr>
          <w:rFonts w:eastAsia="Century Schoolbook"/>
        </w:rPr>
      </w:pPr>
      <w:r w:rsidRPr="009F549F">
        <w:rPr>
          <w:rFonts w:eastAsia="Century Schoolbook"/>
        </w:rPr>
        <w:lastRenderedPageBreak/>
        <w:t xml:space="preserve">The ULTRA method also offers another key advantage for state-level tax reforms, especially in regard to mobile taxpayers. As with the federal tax system, there are ample ways to defer state income taxes. Consider employee stock options. An employee earns options as part of their employment but then does not exercise them until </w:t>
      </w:r>
      <w:r w:rsidR="004A005F">
        <w:rPr>
          <w:rFonts w:eastAsia="Century Schoolbook"/>
        </w:rPr>
        <w:t>some</w:t>
      </w:r>
      <w:r w:rsidR="004A005F" w:rsidRPr="009F549F">
        <w:rPr>
          <w:rFonts w:eastAsia="Century Schoolbook"/>
        </w:rPr>
        <w:t xml:space="preserve"> </w:t>
      </w:r>
      <w:r w:rsidRPr="009F549F">
        <w:rPr>
          <w:rFonts w:eastAsia="Century Schoolbook"/>
        </w:rPr>
        <w:t>years later (and potentially after having moved to a jurisdiction without a</w:t>
      </w:r>
      <w:r w:rsidR="001714EA">
        <w:rPr>
          <w:rFonts w:eastAsia="Century Schoolbook"/>
        </w:rPr>
        <w:t xml:space="preserve"> state-level</w:t>
      </w:r>
      <w:r w:rsidRPr="009F549F">
        <w:rPr>
          <w:rFonts w:eastAsia="Century Schoolbook"/>
        </w:rPr>
        <w:t xml:space="preserve"> income tax). The fact that the compensation was delayed does not </w:t>
      </w:r>
      <w:r w:rsidR="001714EA">
        <w:rPr>
          <w:rFonts w:eastAsia="Century Schoolbook"/>
        </w:rPr>
        <w:t xml:space="preserve">automatically </w:t>
      </w:r>
      <w:r w:rsidRPr="009F549F">
        <w:rPr>
          <w:rFonts w:eastAsia="Century Schoolbook"/>
        </w:rPr>
        <w:t>defeat the source state’s legal claim for a share of the income.</w:t>
      </w:r>
      <w:r w:rsidRPr="009F549F">
        <w:rPr>
          <w:rFonts w:eastAsia="Century Schoolbook"/>
          <w:vertAlign w:val="superscript"/>
        </w:rPr>
        <w:footnoteReference w:id="247"/>
      </w:r>
      <w:r w:rsidRPr="009F549F">
        <w:rPr>
          <w:rFonts w:eastAsia="Century Schoolbook"/>
        </w:rPr>
        <w:t xml:space="preserve">  </w:t>
      </w:r>
    </w:p>
    <w:p w14:paraId="6BD45133" w14:textId="2CE90F59" w:rsidR="007B1344" w:rsidRPr="009F549F" w:rsidRDefault="002347BA">
      <w:pPr>
        <w:spacing w:before="240" w:after="240"/>
        <w:ind w:firstLine="720"/>
        <w:jc w:val="both"/>
        <w:rPr>
          <w:rFonts w:eastAsia="Century Schoolbook"/>
        </w:rPr>
      </w:pPr>
      <w:r w:rsidRPr="009F549F">
        <w:rPr>
          <w:rFonts w:eastAsia="Century Schoolbook"/>
        </w:rPr>
        <w:t xml:space="preserve">Yet just because a state has a claim under current constitutional law to tax deferred income does not mean </w:t>
      </w:r>
      <w:r w:rsidR="001714EA">
        <w:rPr>
          <w:rFonts w:eastAsia="Century Schoolbook"/>
        </w:rPr>
        <w:t xml:space="preserve">that </w:t>
      </w:r>
      <w:r w:rsidRPr="009F549F">
        <w:rPr>
          <w:rFonts w:eastAsia="Century Schoolbook"/>
        </w:rPr>
        <w:t xml:space="preserve">it will be easy </w:t>
      </w:r>
      <w:r w:rsidR="001714EA">
        <w:rPr>
          <w:rFonts w:eastAsia="Century Schoolbook"/>
        </w:rPr>
        <w:t xml:space="preserve">for the state </w:t>
      </w:r>
      <w:r w:rsidRPr="009F549F">
        <w:rPr>
          <w:rFonts w:eastAsia="Century Schoolbook"/>
        </w:rPr>
        <w:t xml:space="preserve">to do so or that the law might not change. In response to a similar challenge, many states give nonresident limited partners or shareholders of </w:t>
      </w:r>
      <w:r w:rsidRPr="00036097">
        <w:rPr>
          <w:rFonts w:eastAsia="Century Schoolbook"/>
        </w:rPr>
        <w:t>a</w:t>
      </w:r>
      <w:r w:rsidR="008A5431" w:rsidRPr="00036097">
        <w:rPr>
          <w:rFonts w:eastAsia="Century Schoolbook"/>
        </w:rPr>
        <w:t xml:space="preserve"> limited liability corporation </w:t>
      </w:r>
      <w:r w:rsidR="001419F8" w:rsidRPr="00036097">
        <w:rPr>
          <w:rFonts w:eastAsia="Century Schoolbook"/>
        </w:rPr>
        <w:t>(“</w:t>
      </w:r>
      <w:r w:rsidRPr="009F549F">
        <w:rPr>
          <w:rFonts w:eastAsia="Century Schoolbook"/>
        </w:rPr>
        <w:t>LLC</w:t>
      </w:r>
      <w:r w:rsidR="001419F8" w:rsidRPr="00036097">
        <w:rPr>
          <w:rFonts w:eastAsia="Century Schoolbook"/>
        </w:rPr>
        <w:t>”)</w:t>
      </w:r>
      <w:r w:rsidRPr="009F549F">
        <w:rPr>
          <w:rFonts w:eastAsia="Century Schoolbook"/>
        </w:rPr>
        <w:t xml:space="preserve"> a choice: </w:t>
      </w:r>
      <w:r w:rsidR="002A2A69">
        <w:rPr>
          <w:rFonts w:ascii="Century Schoolbook" w:eastAsia="Century Schoolbook" w:hAnsi="Century Schoolbook" w:cs="Century Schoolbook"/>
        </w:rPr>
        <w:t xml:space="preserve">either </w:t>
      </w:r>
      <w:r w:rsidRPr="009F549F">
        <w:rPr>
          <w:rFonts w:eastAsia="Century Schoolbook"/>
        </w:rPr>
        <w:t>consent to jurisdiction</w:t>
      </w:r>
      <w:r w:rsidRPr="009F549F">
        <w:rPr>
          <w:rFonts w:eastAsia="Century Schoolbook"/>
          <w:vertAlign w:val="superscript"/>
        </w:rPr>
        <w:footnoteReference w:id="248"/>
      </w:r>
      <w:r w:rsidRPr="009F549F">
        <w:rPr>
          <w:rFonts w:eastAsia="Century Schoolbook"/>
        </w:rPr>
        <w:t xml:space="preserve"> (and </w:t>
      </w:r>
      <w:r w:rsidR="00EE5082" w:rsidRPr="009F549F">
        <w:rPr>
          <w:rFonts w:eastAsia="Century Schoolbook"/>
        </w:rPr>
        <w:t xml:space="preserve">to </w:t>
      </w:r>
      <w:r w:rsidR="002A2A69">
        <w:rPr>
          <w:rFonts w:ascii="Century Schoolbook" w:eastAsia="Century Schoolbook" w:hAnsi="Century Schoolbook" w:cs="Century Schoolbook"/>
        </w:rPr>
        <w:t>future information-reporting requirements for</w:t>
      </w:r>
      <w:r>
        <w:rPr>
          <w:rFonts w:ascii="Century Schoolbook" w:eastAsia="Century Schoolbook" w:hAnsi="Century Schoolbook" w:cs="Century Schoolbook"/>
        </w:rPr>
        <w:t xml:space="preserve"> </w:t>
      </w:r>
      <w:r w:rsidRPr="009F549F">
        <w:rPr>
          <w:rFonts w:eastAsia="Century Schoolbook"/>
        </w:rPr>
        <w:t>updating the state tax authorities</w:t>
      </w:r>
      <w:r>
        <w:rPr>
          <w:rFonts w:ascii="Century Schoolbook" w:eastAsia="Century Schoolbook" w:hAnsi="Century Schoolbook" w:cs="Century Schoolbook"/>
        </w:rPr>
        <w:t>)</w:t>
      </w:r>
      <w:r w:rsidRPr="009F549F">
        <w:rPr>
          <w:rFonts w:eastAsia="Century Schoolbook"/>
        </w:rPr>
        <w:t xml:space="preserve"> or</w:t>
      </w:r>
      <w:r w:rsidR="002A2A69">
        <w:rPr>
          <w:rFonts w:ascii="Century Schoolbook" w:eastAsia="Century Schoolbook" w:hAnsi="Century Schoolbook" w:cs="Century Schoolbook"/>
        </w:rPr>
        <w:t xml:space="preserve"> else</w:t>
      </w:r>
      <w:r w:rsidRPr="009F549F">
        <w:rPr>
          <w:rFonts w:eastAsia="Century Schoolbook"/>
        </w:rPr>
        <w:t xml:space="preserve"> the entity </w:t>
      </w:r>
      <w:r w:rsidRPr="009F549F">
        <w:rPr>
          <w:rFonts w:eastAsia="Century Schoolbook"/>
        </w:rPr>
        <w:lastRenderedPageBreak/>
        <w:t>must withhold for the nonresident partners.</w:t>
      </w:r>
      <w:r w:rsidRPr="009F549F">
        <w:rPr>
          <w:rFonts w:eastAsia="Century Schoolbook"/>
          <w:vertAlign w:val="superscript"/>
        </w:rPr>
        <w:footnoteReference w:id="249"/>
      </w:r>
      <w:r w:rsidRPr="009F549F">
        <w:rPr>
          <w:rFonts w:eastAsia="Century Schoolbook"/>
        </w:rPr>
        <w:t xml:space="preserve"> Similarly, taxpayers that choose an ULTRA can also be asked to submit to the state’s jurisdiction as to payment of their ULTRA liability in the future or </w:t>
      </w:r>
      <w:r w:rsidR="002A2A69">
        <w:rPr>
          <w:rFonts w:ascii="Century Schoolbook" w:eastAsia="Century Schoolbook" w:hAnsi="Century Schoolbook" w:cs="Century Schoolbook"/>
        </w:rPr>
        <w:t>else</w:t>
      </w:r>
      <w:r>
        <w:rPr>
          <w:rFonts w:ascii="Century Schoolbook" w:eastAsia="Century Schoolbook" w:hAnsi="Century Schoolbook" w:cs="Century Schoolbook"/>
        </w:rPr>
        <w:t xml:space="preserve"> </w:t>
      </w:r>
      <w:r w:rsidRPr="009F549F">
        <w:rPr>
          <w:rFonts w:eastAsia="Century Schoolbook"/>
        </w:rPr>
        <w:t>be denied the privilege of using an ULTRA. A state does not need to make the ULTRA available to help with liquidity and valuation concerns</w:t>
      </w:r>
      <w:r w:rsidR="002A2A69">
        <w:rPr>
          <w:rFonts w:ascii="Century Schoolbook" w:eastAsia="Century Schoolbook" w:hAnsi="Century Schoolbook" w:cs="Century Schoolbook"/>
        </w:rPr>
        <w:t>—as we have discussed, other options are possible—</w:t>
      </w:r>
      <w:r w:rsidRPr="009F549F">
        <w:rPr>
          <w:rFonts w:eastAsia="Century Schoolbook"/>
        </w:rPr>
        <w:t xml:space="preserve">and </w:t>
      </w:r>
      <w:r w:rsidR="002A2A69">
        <w:rPr>
          <w:rFonts w:ascii="Century Schoolbook" w:eastAsia="Century Schoolbook" w:hAnsi="Century Schoolbook" w:cs="Century Schoolbook"/>
        </w:rPr>
        <w:t xml:space="preserve">so the state </w:t>
      </w:r>
      <w:r w:rsidRPr="009F549F">
        <w:rPr>
          <w:rFonts w:eastAsia="Century Schoolbook"/>
        </w:rPr>
        <w:t xml:space="preserve">can use a </w:t>
      </w:r>
      <w:r w:rsidR="002A2A69">
        <w:rPr>
          <w:rFonts w:ascii="Century Schoolbook" w:eastAsia="Century Schoolbook" w:hAnsi="Century Schoolbook" w:cs="Century Schoolbook"/>
        </w:rPr>
        <w:t>number of possible alternative approaches for</w:t>
      </w:r>
      <w:r w:rsidRPr="009F549F">
        <w:rPr>
          <w:rFonts w:eastAsia="Century Schoolbook"/>
        </w:rPr>
        <w:t xml:space="preserve"> calculat</w:t>
      </w:r>
      <w:r w:rsidR="002A2A69">
        <w:rPr>
          <w:rFonts w:ascii="Century Schoolbook" w:eastAsia="Century Schoolbook" w:hAnsi="Century Schoolbook" w:cs="Century Schoolbook"/>
        </w:rPr>
        <w:t>ing</w:t>
      </w:r>
      <w:r w:rsidRPr="009F549F">
        <w:rPr>
          <w:rFonts w:eastAsia="Century Schoolbook"/>
        </w:rPr>
        <w:t xml:space="preserve"> the current value of assets if the taxpayer will not consent to jurisdiction</w:t>
      </w:r>
      <w:r w:rsidR="002A2A69">
        <w:rPr>
          <w:rFonts w:ascii="Century Schoolbook" w:eastAsia="Century Schoolbook" w:hAnsi="Century Schoolbook" w:cs="Century Schoolbook"/>
        </w:rPr>
        <w:t xml:space="preserve"> as a requirement of opting for the ULTRA</w:t>
      </w:r>
      <w:r w:rsidRPr="009F549F">
        <w:rPr>
          <w:rFonts w:eastAsia="Century Schoolbook"/>
        </w:rPr>
        <w:t xml:space="preserve">. </w:t>
      </w:r>
    </w:p>
    <w:p w14:paraId="4B3BFEFF" w14:textId="77777777" w:rsidR="007B1344" w:rsidRPr="009F549F" w:rsidRDefault="002347BA">
      <w:pPr>
        <w:spacing w:before="240" w:after="240"/>
        <w:ind w:firstLine="720"/>
        <w:jc w:val="both"/>
        <w:rPr>
          <w:rFonts w:eastAsia="Century Schoolbook"/>
        </w:rPr>
      </w:pPr>
      <w:r w:rsidRPr="009F549F">
        <w:rPr>
          <w:rFonts w:eastAsia="Century Schoolbook"/>
        </w:rPr>
        <w:t>All considered, while the ULTRA method is not a perfect solution to the valuation challenge, we believe it has key advantages over prior approaches. We now proceed to discuss some specific applications, and the issues that arise in regard to those specific applications, in greater depth.</w:t>
      </w:r>
    </w:p>
    <w:p w14:paraId="57B26503" w14:textId="77777777" w:rsidR="007B1344" w:rsidRPr="009F549F" w:rsidRDefault="002347BA">
      <w:pPr>
        <w:pStyle w:val="Heading1"/>
        <w:rPr>
          <w:rFonts w:ascii="Times New Roman" w:hAnsi="Times New Roman"/>
          <w:b w:val="0"/>
          <w:smallCaps/>
          <w:sz w:val="24"/>
        </w:rPr>
      </w:pPr>
      <w:r w:rsidRPr="009F549F">
        <w:rPr>
          <w:rFonts w:ascii="Times New Roman" w:hAnsi="Times New Roman"/>
          <w:b w:val="0"/>
          <w:smallCaps/>
          <w:sz w:val="24"/>
        </w:rPr>
        <w:t xml:space="preserve"> </w:t>
      </w:r>
      <w:bookmarkStart w:id="141" w:name="_Toc115088942"/>
      <w:bookmarkStart w:id="142" w:name="_Toc120019838"/>
      <w:r w:rsidRPr="009F549F">
        <w:rPr>
          <w:rFonts w:ascii="Times New Roman" w:hAnsi="Times New Roman"/>
          <w:b w:val="0"/>
          <w:smallCaps/>
          <w:sz w:val="24"/>
        </w:rPr>
        <w:t xml:space="preserve">IV.              </w:t>
      </w:r>
      <w:r w:rsidRPr="009F549F">
        <w:rPr>
          <w:rFonts w:ascii="Times New Roman" w:hAnsi="Times New Roman"/>
          <w:b w:val="0"/>
          <w:smallCaps/>
          <w:sz w:val="24"/>
        </w:rPr>
        <w:tab/>
        <w:t>Applications</w:t>
      </w:r>
      <w:bookmarkEnd w:id="141"/>
      <w:bookmarkEnd w:id="142"/>
    </w:p>
    <w:p w14:paraId="71D9FEE6" w14:textId="1241FDD6" w:rsidR="007B1344" w:rsidRPr="009F549F" w:rsidRDefault="002347BA">
      <w:pPr>
        <w:spacing w:before="240" w:after="240"/>
        <w:ind w:firstLine="720"/>
        <w:jc w:val="both"/>
        <w:rPr>
          <w:rFonts w:eastAsia="Century Schoolbook"/>
        </w:rPr>
      </w:pPr>
      <w:r w:rsidRPr="009F549F">
        <w:rPr>
          <w:rFonts w:eastAsia="Century Schoolbook"/>
        </w:rPr>
        <w:t>We believe that our proposed ULTRA method has great promise for improving numerous forms of taxation, including wealth taxes, income taxes, estate and gift taxes, and property taxes, among others. This Part explains some of the most promising applications. Because we originally developed the ULTRA method to solve key problems in designing a comprehensive wealth tax reform proposal</w:t>
      </w:r>
      <w:r w:rsidR="00B72237" w:rsidRPr="00036097">
        <w:rPr>
          <w:rFonts w:eastAsia="Century Schoolbook"/>
        </w:rPr>
        <w:t>—</w:t>
      </w:r>
      <w:r w:rsidRPr="009F549F">
        <w:rPr>
          <w:rFonts w:eastAsia="Century Schoolbook"/>
        </w:rPr>
        <w:lastRenderedPageBreak/>
        <w:t>the proposed California Tax on Extreme Wealth</w:t>
      </w:r>
      <w:r w:rsidR="00B72237" w:rsidRPr="00036097">
        <w:rPr>
          <w:rFonts w:eastAsia="Century Schoolbook"/>
        </w:rPr>
        <w:t>—</w:t>
      </w:r>
      <w:r w:rsidRPr="009F549F">
        <w:rPr>
          <w:rFonts w:eastAsia="Century Schoolbook"/>
        </w:rPr>
        <w:t>we begin by discussing that application.</w:t>
      </w:r>
    </w:p>
    <w:p w14:paraId="5314C373" w14:textId="77777777" w:rsidR="007B1344" w:rsidRPr="009F549F" w:rsidRDefault="002347BA">
      <w:pPr>
        <w:pStyle w:val="Heading2"/>
        <w:rPr>
          <w:rFonts w:ascii="Times New Roman" w:hAnsi="Times New Roman"/>
          <w:i/>
          <w:sz w:val="24"/>
        </w:rPr>
      </w:pPr>
      <w:bookmarkStart w:id="143" w:name="_Ref119430662"/>
      <w:bookmarkStart w:id="144" w:name="_Toc115088943"/>
      <w:bookmarkStart w:id="145" w:name="_Toc120019839"/>
      <w:r w:rsidRPr="009F549F">
        <w:rPr>
          <w:rFonts w:ascii="Times New Roman" w:hAnsi="Times New Roman"/>
          <w:i/>
          <w:sz w:val="24"/>
        </w:rPr>
        <w:t>A. Comprehensive Wealth Tax Reforms and the Proposed California Tax on Extreme Wealth</w:t>
      </w:r>
      <w:bookmarkEnd w:id="143"/>
      <w:bookmarkEnd w:id="144"/>
      <w:bookmarkEnd w:id="145"/>
    </w:p>
    <w:p w14:paraId="5E9B0365" w14:textId="0995F9C2" w:rsidR="007B1344" w:rsidRPr="009F549F" w:rsidRDefault="002347BA">
      <w:pPr>
        <w:spacing w:before="240" w:after="240"/>
        <w:ind w:firstLine="720"/>
        <w:jc w:val="both"/>
        <w:rPr>
          <w:rFonts w:eastAsia="Century Schoolbook"/>
        </w:rPr>
      </w:pPr>
      <w:r w:rsidRPr="009F549F">
        <w:rPr>
          <w:rFonts w:eastAsia="Century Schoolbook"/>
        </w:rPr>
        <w:t>We first developed our ULTRA method while drafting a proposal for a comprehensive annual wealth tax reform for the state of California.</w:t>
      </w:r>
      <w:r w:rsidRPr="009F549F">
        <w:rPr>
          <w:rFonts w:eastAsia="Century Schoolbook"/>
          <w:vertAlign w:val="superscript"/>
        </w:rPr>
        <w:footnoteReference w:id="250"/>
      </w:r>
      <w:r w:rsidRPr="009F549F">
        <w:rPr>
          <w:rFonts w:eastAsia="Century Schoolbook"/>
        </w:rPr>
        <w:t xml:space="preserve"> At the time of this writing, that proposal—the California Tax on Extreme Wealth—is in the process of being revised in preparation for its consideration by the California state legislature</w:t>
      </w:r>
      <w:r w:rsidRPr="00036097">
        <w:rPr>
          <w:rFonts w:eastAsia="Century Schoolbook"/>
        </w:rPr>
        <w:t>.</w:t>
      </w:r>
      <w:r w:rsidR="00B345CB" w:rsidDel="00B345CB">
        <w:rPr>
          <w:rStyle w:val="FootnoteReference"/>
          <w:rFonts w:eastAsia="Century Schoolbook"/>
        </w:rPr>
        <w:t xml:space="preserve"> </w:t>
      </w:r>
      <w:r w:rsidRPr="009F549F">
        <w:rPr>
          <w:rFonts w:eastAsia="Century Schoolbook"/>
        </w:rPr>
        <w:t xml:space="preserve"> We are working with economist Emmanuel </w:t>
      </w:r>
      <w:proofErr w:type="spellStart"/>
      <w:r w:rsidRPr="009F549F">
        <w:rPr>
          <w:rFonts w:eastAsia="Century Schoolbook"/>
        </w:rPr>
        <w:t>Saez</w:t>
      </w:r>
      <w:proofErr w:type="spellEnd"/>
      <w:r w:rsidRPr="009F549F">
        <w:rPr>
          <w:rFonts w:eastAsia="Century Schoolbook"/>
        </w:rPr>
        <w:t xml:space="preserve"> and with a coalition of interest groups to refine the proposal with the goal of eventually placing it on the ballot for voter approval.</w:t>
      </w:r>
      <w:r w:rsidRPr="009F549F">
        <w:rPr>
          <w:rFonts w:eastAsia="Century Schoolbook"/>
          <w:vertAlign w:val="superscript"/>
        </w:rPr>
        <w:footnoteReference w:id="251"/>
      </w:r>
    </w:p>
    <w:p w14:paraId="7BDE13C0" w14:textId="7EF4542A" w:rsidR="007B1344" w:rsidRPr="009F549F" w:rsidRDefault="002347BA">
      <w:pPr>
        <w:spacing w:before="240" w:after="240"/>
        <w:ind w:firstLine="720"/>
        <w:jc w:val="both"/>
        <w:rPr>
          <w:rFonts w:eastAsia="Century Schoolbook"/>
        </w:rPr>
      </w:pPr>
      <w:r w:rsidRPr="009F549F">
        <w:rPr>
          <w:rFonts w:eastAsia="Century Schoolbook"/>
        </w:rPr>
        <w:t xml:space="preserve">The proposed California Tax on Extreme Wealth is meant to apply only to California residents with </w:t>
      </w:r>
      <w:r w:rsidR="000E1771">
        <w:rPr>
          <w:rFonts w:eastAsia="Century Schoolbook"/>
        </w:rPr>
        <w:t xml:space="preserve">a </w:t>
      </w:r>
      <w:r w:rsidRPr="009F549F">
        <w:rPr>
          <w:rFonts w:eastAsia="Century Schoolbook"/>
        </w:rPr>
        <w:t xml:space="preserve">net worth of over $50 million, </w:t>
      </w:r>
      <w:r w:rsidRPr="00036097">
        <w:rPr>
          <w:rFonts w:eastAsia="Century Schoolbook"/>
        </w:rPr>
        <w:t>levy</w:t>
      </w:r>
      <w:r w:rsidR="000E1771">
        <w:rPr>
          <w:rFonts w:eastAsia="Century Schoolbook"/>
        </w:rPr>
        <w:t>ing</w:t>
      </w:r>
      <w:r w:rsidRPr="009F549F">
        <w:rPr>
          <w:rFonts w:eastAsia="Century Schoolbook"/>
        </w:rPr>
        <w:t xml:space="preserve"> a 1</w:t>
      </w:r>
      <w:r w:rsidR="002C3212" w:rsidRPr="00036097">
        <w:rPr>
          <w:rFonts w:eastAsia="Century Schoolbook"/>
        </w:rPr>
        <w:t xml:space="preserve"> percent</w:t>
      </w:r>
      <w:r w:rsidRPr="009F549F">
        <w:rPr>
          <w:rFonts w:eastAsia="Century Schoolbook"/>
        </w:rPr>
        <w:t xml:space="preserve"> annual tax rate </w:t>
      </w:r>
      <w:r w:rsidR="000E1771">
        <w:rPr>
          <w:rFonts w:eastAsia="Century Schoolbook"/>
        </w:rPr>
        <w:t>on</w:t>
      </w:r>
      <w:r w:rsidRPr="009F549F">
        <w:rPr>
          <w:rFonts w:eastAsia="Century Schoolbook"/>
        </w:rPr>
        <w:t xml:space="preserve"> net worth in excess of $</w:t>
      </w:r>
      <w:r w:rsidRPr="00036097">
        <w:rPr>
          <w:rFonts w:eastAsia="Century Schoolbook"/>
        </w:rPr>
        <w:t>50</w:t>
      </w:r>
      <w:r w:rsidR="002C3212" w:rsidRPr="00036097">
        <w:rPr>
          <w:rFonts w:eastAsia="Century Schoolbook"/>
        </w:rPr>
        <w:t xml:space="preserve"> million</w:t>
      </w:r>
      <w:r w:rsidR="000E1771">
        <w:rPr>
          <w:rFonts w:eastAsia="Century Schoolbook"/>
        </w:rPr>
        <w:t xml:space="preserve"> and</w:t>
      </w:r>
      <w:r w:rsidRPr="009F549F">
        <w:rPr>
          <w:rFonts w:eastAsia="Century Schoolbook"/>
        </w:rPr>
        <w:t xml:space="preserve"> a 1.5</w:t>
      </w:r>
      <w:r w:rsidR="002C3212" w:rsidRPr="00036097">
        <w:rPr>
          <w:rFonts w:eastAsia="Century Schoolbook"/>
        </w:rPr>
        <w:t xml:space="preserve"> percent</w:t>
      </w:r>
      <w:r w:rsidRPr="009F549F">
        <w:rPr>
          <w:rFonts w:eastAsia="Century Schoolbook"/>
        </w:rPr>
        <w:t xml:space="preserve"> rate </w:t>
      </w:r>
      <w:r w:rsidR="000E1771">
        <w:rPr>
          <w:rFonts w:eastAsia="Century Schoolbook"/>
        </w:rPr>
        <w:t>on</w:t>
      </w:r>
      <w:r w:rsidRPr="009F549F">
        <w:rPr>
          <w:rFonts w:eastAsia="Century Schoolbook"/>
        </w:rPr>
        <w:t xml:space="preserve"> net worth in excess of $1 billion.</w:t>
      </w:r>
      <w:r w:rsidRPr="009F549F">
        <w:rPr>
          <w:rFonts w:eastAsia="Century Schoolbook"/>
          <w:vertAlign w:val="superscript"/>
        </w:rPr>
        <w:footnoteReference w:id="252"/>
      </w:r>
      <w:r w:rsidRPr="009F549F">
        <w:rPr>
          <w:rFonts w:eastAsia="Century Schoolbook"/>
        </w:rPr>
        <w:t xml:space="preserve"> The original vision for the reform was to value publicly traded assets based on public trading values while using formulaic valuations for privately held businesses and other nontraded assets, building on the rules used by the Swiss </w:t>
      </w:r>
      <w:r w:rsidR="000E1771">
        <w:rPr>
          <w:rFonts w:eastAsia="Century Schoolbook"/>
        </w:rPr>
        <w:t>w</w:t>
      </w:r>
      <w:r w:rsidRPr="009F549F">
        <w:rPr>
          <w:rFonts w:eastAsia="Century Schoolbook"/>
        </w:rPr>
        <w:t>ealth tax. However, this vision ran into implementation problems as we worked on drafting the details of the valuation rules.</w:t>
      </w:r>
    </w:p>
    <w:p w14:paraId="11A8B9B1" w14:textId="7E5F9EA2" w:rsidR="007B1344" w:rsidRPr="009F549F" w:rsidRDefault="002347BA">
      <w:pPr>
        <w:spacing w:before="240" w:after="240"/>
        <w:ind w:firstLine="720"/>
        <w:jc w:val="both"/>
        <w:rPr>
          <w:rFonts w:eastAsia="Century Schoolbook"/>
        </w:rPr>
      </w:pPr>
      <w:r w:rsidRPr="009F549F">
        <w:rPr>
          <w:rFonts w:eastAsia="Century Schoolbook"/>
        </w:rPr>
        <w:t xml:space="preserve">Specifically, many important categories of assets cannot adequately be valued based on </w:t>
      </w:r>
      <w:r w:rsidR="000E1771">
        <w:rPr>
          <w:rFonts w:eastAsia="Century Schoolbook"/>
        </w:rPr>
        <w:t xml:space="preserve">either </w:t>
      </w:r>
      <w:r w:rsidRPr="009F549F">
        <w:rPr>
          <w:rFonts w:eastAsia="Century Schoolbook"/>
        </w:rPr>
        <w:t>public trading values or formulaic valuations.</w:t>
      </w:r>
      <w:r w:rsidRPr="009F549F">
        <w:rPr>
          <w:rFonts w:eastAsia="Century Schoolbook"/>
          <w:vertAlign w:val="superscript"/>
        </w:rPr>
        <w:footnoteReference w:id="253"/>
      </w:r>
      <w:r w:rsidRPr="009F549F">
        <w:rPr>
          <w:rFonts w:eastAsia="Century Schoolbook"/>
        </w:rPr>
        <w:t xml:space="preserve"> Arguably, some of these categories of hard-to-value assets are not especially important, such that a comprehensive wealth tax reform could function reasonably well by just excluding some of these assets from tax or by relying on taxpayer</w:t>
      </w:r>
      <w:r w:rsidR="00150060">
        <w:rPr>
          <w:rFonts w:eastAsia="Century Schoolbook"/>
        </w:rPr>
        <w:t>-</w:t>
      </w:r>
      <w:r w:rsidRPr="009F549F">
        <w:rPr>
          <w:rFonts w:eastAsia="Century Schoolbook"/>
        </w:rPr>
        <w:t>provided appraisal valuations—despite it being well known that taxpayer</w:t>
      </w:r>
      <w:r w:rsidR="00B60E48" w:rsidRPr="00036097">
        <w:rPr>
          <w:rFonts w:eastAsia="Century Schoolbook"/>
        </w:rPr>
        <w:t>-</w:t>
      </w:r>
      <w:r w:rsidRPr="009F549F">
        <w:rPr>
          <w:rFonts w:eastAsia="Century Schoolbook"/>
        </w:rPr>
        <w:t xml:space="preserve">provided appraisal </w:t>
      </w:r>
      <w:r w:rsidRPr="009F549F">
        <w:rPr>
          <w:rFonts w:eastAsia="Century Schoolbook"/>
        </w:rPr>
        <w:lastRenderedPageBreak/>
        <w:t>valuations are easily gameable for hard-to-value assets.</w:t>
      </w:r>
      <w:r w:rsidRPr="009F549F">
        <w:rPr>
          <w:rFonts w:eastAsia="Century Schoolbook"/>
          <w:vertAlign w:val="superscript"/>
        </w:rPr>
        <w:footnoteReference w:id="254"/>
      </w:r>
      <w:r w:rsidRPr="009F549F">
        <w:rPr>
          <w:rFonts w:eastAsia="Century Schoolbook"/>
        </w:rPr>
        <w:t xml:space="preserve"> But other categories of hard-to-value assets gave rise to more fundamental problems. Most notably, there are no adequate formulaic approaches for valuing many more complicated forms of ownership interests in businesses.</w:t>
      </w:r>
      <w:r w:rsidRPr="009F549F">
        <w:rPr>
          <w:rFonts w:eastAsia="Century Schoolbook"/>
          <w:vertAlign w:val="superscript"/>
        </w:rPr>
        <w:footnoteReference w:id="255"/>
      </w:r>
      <w:r w:rsidRPr="009F549F">
        <w:rPr>
          <w:rFonts w:eastAsia="Century Schoolbook"/>
        </w:rPr>
        <w:t xml:space="preserve"> Yet, without an adequate mechanism for valuing such interests, we worried that sophisticated taxpayers might convert their existing ownership interests in businesses into more complicated hard-to-value interests so as to facilitate gaming and escape the new wealth tax.</w:t>
      </w:r>
    </w:p>
    <w:p w14:paraId="10E88868" w14:textId="2D94F609" w:rsidR="007B1344" w:rsidRPr="009F549F" w:rsidRDefault="002347BA">
      <w:pPr>
        <w:spacing w:before="240" w:after="240"/>
        <w:ind w:firstLine="720"/>
        <w:jc w:val="both"/>
        <w:rPr>
          <w:rFonts w:eastAsia="Century Schoolbook"/>
        </w:rPr>
      </w:pPr>
      <w:r w:rsidRPr="009F549F">
        <w:rPr>
          <w:rFonts w:eastAsia="Century Schoolbook"/>
        </w:rPr>
        <w:t>Relatedly, for a mixture of political and policy reasons, we concluded that rules would be needed so that taxpayers who had most of their wealth tied</w:t>
      </w:r>
      <w:r w:rsidR="00BB0741" w:rsidRPr="00036097">
        <w:rPr>
          <w:rFonts w:eastAsia="Century Schoolbook"/>
        </w:rPr>
        <w:t xml:space="preserve"> </w:t>
      </w:r>
      <w:r w:rsidRPr="009F549F">
        <w:rPr>
          <w:rFonts w:eastAsia="Century Schoolbook"/>
        </w:rPr>
        <w:t>up in start-up businesses could postpone paying tax on that wealth until they cashed out of those start-up businesses. But this might then create serious problems</w:t>
      </w:r>
      <w:r w:rsidR="002A2A69">
        <w:rPr>
          <w:rFonts w:ascii="Century Schoolbook" w:eastAsia="Century Schoolbook" w:hAnsi="Century Schoolbook" w:cs="Century Schoolbook"/>
        </w:rPr>
        <w:t>, especially</w:t>
      </w:r>
      <w:r w:rsidRPr="009F549F">
        <w:rPr>
          <w:rFonts w:eastAsia="Century Schoolbook"/>
        </w:rPr>
        <w:t xml:space="preserve"> in the context of a state-level tax reform because taxpayers able to postpone paying tax through such rules could potentially move out of state before their tax bills became due. At that point, because of </w:t>
      </w:r>
      <w:r w:rsidR="00C56449">
        <w:rPr>
          <w:rFonts w:eastAsia="Century Schoolbook"/>
        </w:rPr>
        <w:t xml:space="preserve">possible </w:t>
      </w:r>
      <w:r w:rsidRPr="009F549F">
        <w:rPr>
          <w:rFonts w:eastAsia="Century Schoolbook"/>
        </w:rPr>
        <w:t xml:space="preserve">federal </w:t>
      </w:r>
      <w:r w:rsidR="00EC29DA">
        <w:rPr>
          <w:rFonts w:eastAsia="Century Schoolbook"/>
        </w:rPr>
        <w:t>c</w:t>
      </w:r>
      <w:r w:rsidRPr="009F549F">
        <w:rPr>
          <w:rFonts w:eastAsia="Century Schoolbook"/>
        </w:rPr>
        <w:t xml:space="preserve">onstitutional limitations, California might </w:t>
      </w:r>
      <w:r w:rsidR="00C56449">
        <w:rPr>
          <w:rFonts w:eastAsia="Century Schoolbook"/>
        </w:rPr>
        <w:t xml:space="preserve">face difficulties </w:t>
      </w:r>
      <w:r w:rsidRPr="009F549F">
        <w:rPr>
          <w:rFonts w:eastAsia="Century Schoolbook"/>
        </w:rPr>
        <w:t>collect</w:t>
      </w:r>
      <w:r w:rsidR="00C56449">
        <w:rPr>
          <w:rFonts w:eastAsia="Century Schoolbook"/>
        </w:rPr>
        <w:t>ing</w:t>
      </w:r>
      <w:r w:rsidRPr="009F549F">
        <w:rPr>
          <w:rFonts w:eastAsia="Century Schoolbook"/>
        </w:rPr>
        <w:t xml:space="preserve"> the deferred tax liabilities.</w:t>
      </w:r>
      <w:r w:rsidRPr="009F549F">
        <w:rPr>
          <w:rFonts w:eastAsia="Century Schoolbook"/>
          <w:vertAlign w:val="superscript"/>
        </w:rPr>
        <w:footnoteReference w:id="256"/>
      </w:r>
      <w:r w:rsidRPr="009F549F">
        <w:rPr>
          <w:rFonts w:eastAsia="Century Schoolbook"/>
        </w:rPr>
        <w:t xml:space="preserve"> This could potentially create problematic</w:t>
      </w:r>
      <w:r w:rsidR="000E584D" w:rsidRPr="00036097">
        <w:rPr>
          <w:rFonts w:eastAsia="Century Schoolbook"/>
        </w:rPr>
        <w:t>,</w:t>
      </w:r>
      <w:r w:rsidRPr="009F549F">
        <w:rPr>
          <w:rFonts w:eastAsia="Century Schoolbook"/>
        </w:rPr>
        <w:t xml:space="preserve"> perverse incentives for taxpayers to move out of state to escape the wealth tax. Moreover, these </w:t>
      </w:r>
      <w:r w:rsidR="00B345CB">
        <w:rPr>
          <w:rFonts w:eastAsia="Century Schoolbook"/>
        </w:rPr>
        <w:t xml:space="preserve">adverse </w:t>
      </w:r>
      <w:r w:rsidRPr="009F549F">
        <w:rPr>
          <w:rFonts w:eastAsia="Century Schoolbook"/>
        </w:rPr>
        <w:t>incentives would be on top of the other problems related to political optionality caused by allowing too generous of a tax deferral regime.</w:t>
      </w:r>
      <w:r w:rsidRPr="009F549F">
        <w:rPr>
          <w:rFonts w:eastAsia="Century Schoolbook"/>
          <w:vertAlign w:val="superscript"/>
        </w:rPr>
        <w:footnoteReference w:id="257"/>
      </w:r>
    </w:p>
    <w:p w14:paraId="43C5ADBC" w14:textId="12B184FB" w:rsidR="007B1344" w:rsidRPr="009F549F" w:rsidRDefault="002347BA">
      <w:pPr>
        <w:spacing w:before="240" w:after="240"/>
        <w:ind w:firstLine="720"/>
        <w:jc w:val="both"/>
        <w:rPr>
          <w:rFonts w:eastAsia="Century Schoolbook"/>
        </w:rPr>
      </w:pPr>
      <w:r w:rsidRPr="009F549F">
        <w:rPr>
          <w:rFonts w:eastAsia="Century Schoolbook"/>
        </w:rPr>
        <w:t>We designed our proposed ULTRA solution to resolve all of these related problems. For complicated ownership interests and other hard-to-value assets for which neither market trading values nor formulaic valuations would suffice, taxpayers would have the option of either attaching an ULTRA to those assets or else accepting the alternative take-it-or-leave-it valuation.</w:t>
      </w:r>
      <w:r w:rsidRPr="009F549F">
        <w:rPr>
          <w:rFonts w:eastAsia="Century Schoolbook"/>
          <w:vertAlign w:val="superscript"/>
        </w:rPr>
        <w:footnoteReference w:id="258"/>
      </w:r>
      <w:r w:rsidRPr="009F549F">
        <w:rPr>
          <w:rFonts w:eastAsia="Century Schoolbook"/>
        </w:rPr>
        <w:t xml:space="preserve"> For qualifying liquidity</w:t>
      </w:r>
      <w:r w:rsidR="00150060">
        <w:rPr>
          <w:rFonts w:eastAsia="Century Schoolbook"/>
        </w:rPr>
        <w:t>-</w:t>
      </w:r>
      <w:r w:rsidRPr="009F549F">
        <w:rPr>
          <w:rFonts w:eastAsia="Century Schoolbook"/>
        </w:rPr>
        <w:t xml:space="preserve">constrained taxpayers opting for an ULTRA, no tax payments would then </w:t>
      </w:r>
      <w:r w:rsidRPr="009F549F">
        <w:rPr>
          <w:rFonts w:eastAsia="Century Schoolbook"/>
        </w:rPr>
        <w:lastRenderedPageBreak/>
        <w:t>be required until cash withdrawals from the ULTRA.</w:t>
      </w:r>
      <w:r w:rsidRPr="009F549F">
        <w:rPr>
          <w:rFonts w:eastAsia="Century Schoolbook"/>
          <w:vertAlign w:val="superscript"/>
        </w:rPr>
        <w:footnoteReference w:id="259"/>
      </w:r>
      <w:r w:rsidRPr="009F549F">
        <w:rPr>
          <w:rFonts w:eastAsia="Century Schoolbook"/>
        </w:rPr>
        <w:t xml:space="preserve"> But any taxpayer opting for an ULTRA instead of the alternative take-it-or-leave-it valuation would thereby be required to grant California a notional equity interest in the assets to which the ULTRA is attached, thus generating a contractual claim that California’s tax authorities could enforce even if the taxpayer might subsequently leave the state. The ULTRA solution thus resolves the valuation and liquidity problems for hard-to-value assets without creating perverse incentives for qualifying taxpayers to move out of state to escape deferred tax liabilities.</w:t>
      </w:r>
    </w:p>
    <w:p w14:paraId="11A6E8BB" w14:textId="098E7F28" w:rsidR="007B1344" w:rsidRPr="009F549F" w:rsidRDefault="002347BA">
      <w:pPr>
        <w:spacing w:before="240" w:after="240"/>
        <w:ind w:firstLine="720"/>
        <w:jc w:val="both"/>
        <w:rPr>
          <w:rFonts w:eastAsia="Century Schoolbook"/>
        </w:rPr>
      </w:pPr>
      <w:r w:rsidRPr="009F549F">
        <w:rPr>
          <w:rFonts w:eastAsia="Century Schoolbook"/>
        </w:rPr>
        <w:t xml:space="preserve">For the most part, the ULTRA solution works within the proposed California Tax on Extreme </w:t>
      </w:r>
      <w:r w:rsidR="00150060">
        <w:rPr>
          <w:rFonts w:eastAsia="Century Schoolbook"/>
        </w:rPr>
        <w:t>W</w:t>
      </w:r>
      <w:r w:rsidRPr="009F549F">
        <w:rPr>
          <w:rFonts w:eastAsia="Century Schoolbook"/>
        </w:rPr>
        <w:t>ealth exactly as we described for a generic wealth tax in Part III. The ULTRA solution is not used as a comprehensive valuation mechanism but rather only as a plug for valuation holes</w:t>
      </w:r>
      <w:r w:rsidR="0070085B">
        <w:rPr>
          <w:rFonts w:eastAsia="Century Schoolbook"/>
        </w:rPr>
        <w:t xml:space="preserve">—that is, </w:t>
      </w:r>
      <w:r w:rsidRPr="009F549F">
        <w:rPr>
          <w:rFonts w:eastAsia="Century Schoolbook"/>
        </w:rPr>
        <w:t>for assets and tax circumstances for which neither public trading valuations nor formulaic valuations would suffice.</w:t>
      </w:r>
    </w:p>
    <w:p w14:paraId="4B3B02D5" w14:textId="77777777" w:rsidR="007B1344" w:rsidRPr="009F549F" w:rsidRDefault="002347BA">
      <w:pPr>
        <w:spacing w:before="240" w:after="240"/>
        <w:ind w:firstLine="720"/>
        <w:jc w:val="both"/>
        <w:rPr>
          <w:rFonts w:eastAsia="Century Schoolbook"/>
        </w:rPr>
      </w:pPr>
      <w:bookmarkStart w:id="146" w:name="_2lwamvv" w:colFirst="0" w:colLast="0"/>
      <w:bookmarkEnd w:id="146"/>
      <w:r w:rsidRPr="009F549F">
        <w:rPr>
          <w:rFonts w:eastAsia="Century Schoolbook"/>
        </w:rPr>
        <w:t>The valuation challenge is the central problem of tax design, and numerous prior scholars and commentators have argued that valuation challenges make annual wealth taxes unworkable or undesirable.</w:t>
      </w:r>
      <w:bookmarkStart w:id="147" w:name="_Ref115471638"/>
      <w:r w:rsidRPr="009F549F">
        <w:rPr>
          <w:rFonts w:eastAsia="Century Schoolbook"/>
          <w:vertAlign w:val="superscript"/>
        </w:rPr>
        <w:footnoteReference w:id="260"/>
      </w:r>
      <w:bookmarkEnd w:id="147"/>
      <w:r w:rsidRPr="009F549F">
        <w:rPr>
          <w:rFonts w:eastAsia="Century Schoolbook"/>
        </w:rPr>
        <w:t xml:space="preserve"> These arguments often ignore that income taxes face equivalent or even worse valuation challenges.</w:t>
      </w:r>
      <w:r w:rsidRPr="009F549F">
        <w:rPr>
          <w:rFonts w:eastAsia="Century Schoolbook"/>
          <w:vertAlign w:val="superscript"/>
        </w:rPr>
        <w:footnoteReference w:id="261"/>
      </w:r>
      <w:r w:rsidRPr="009F549F">
        <w:rPr>
          <w:rFonts w:eastAsia="Century Schoolbook"/>
        </w:rPr>
        <w:t xml:space="preserve"> But it is certainly correct that any proposal for an annual wealth tax reform needs some solution (or mix of solutions) for valuation challenges. Fortunately, as we have explained, in combination with market trading valuations and formulaic valuations used for tax situations for which those valuation mechanisms suffice, the proposed ULTRA solution plugs tax valuation holes to resolve the valuation challenge for </w:t>
      </w:r>
      <w:r w:rsidRPr="009F549F">
        <w:rPr>
          <w:rFonts w:eastAsia="Century Schoolbook"/>
        </w:rPr>
        <w:lastRenderedPageBreak/>
        <w:t>comprehensive wealth tax reform proposals. The ULTRA solution thus resolves the key administrative problem of enacting comprehensive wealth tax reforms.</w:t>
      </w:r>
    </w:p>
    <w:p w14:paraId="31E8885C" w14:textId="77777777" w:rsidR="007B1344" w:rsidRPr="009F549F" w:rsidRDefault="002347BA">
      <w:pPr>
        <w:pStyle w:val="Heading2"/>
        <w:rPr>
          <w:rFonts w:ascii="Times New Roman" w:hAnsi="Times New Roman"/>
          <w:i/>
          <w:sz w:val="24"/>
        </w:rPr>
      </w:pPr>
      <w:bookmarkStart w:id="148" w:name="_Toc115088944"/>
      <w:bookmarkStart w:id="149" w:name="_Toc120019840"/>
      <w:r w:rsidRPr="009F549F">
        <w:rPr>
          <w:rFonts w:ascii="Times New Roman" w:hAnsi="Times New Roman"/>
          <w:i/>
          <w:sz w:val="24"/>
        </w:rPr>
        <w:t xml:space="preserve">B.   </w:t>
      </w:r>
      <w:r w:rsidRPr="009F549F">
        <w:rPr>
          <w:rFonts w:ascii="Times New Roman" w:hAnsi="Times New Roman"/>
          <w:i/>
          <w:sz w:val="24"/>
        </w:rPr>
        <w:tab/>
        <w:t>Mark-to-Market Income Tax Reforms</w:t>
      </w:r>
      <w:bookmarkEnd w:id="148"/>
      <w:bookmarkEnd w:id="149"/>
    </w:p>
    <w:p w14:paraId="40C4093D" w14:textId="18536877" w:rsidR="007B1344" w:rsidRPr="009F549F" w:rsidRDefault="002347BA">
      <w:pPr>
        <w:spacing w:before="240" w:after="240"/>
        <w:ind w:firstLine="720"/>
        <w:jc w:val="both"/>
        <w:rPr>
          <w:rFonts w:eastAsia="Century Schoolbook"/>
        </w:rPr>
      </w:pPr>
      <w:r w:rsidRPr="009F549F">
        <w:rPr>
          <w:rFonts w:eastAsia="Century Schoolbook"/>
        </w:rPr>
        <w:t xml:space="preserve">Wealth tax reforms are only one possible approach for fixing existing tax systems </w:t>
      </w:r>
      <w:r w:rsidR="000C737B">
        <w:rPr>
          <w:rFonts w:eastAsia="Century Schoolbook"/>
        </w:rPr>
        <w:t>to effectively reach</w:t>
      </w:r>
      <w:r w:rsidRPr="009F549F">
        <w:rPr>
          <w:rFonts w:eastAsia="Century Schoolbook"/>
        </w:rPr>
        <w:t xml:space="preserve"> the ultrawealthy.</w:t>
      </w:r>
      <w:r w:rsidRPr="009F549F">
        <w:rPr>
          <w:rFonts w:eastAsia="Century Schoolbook"/>
          <w:vertAlign w:val="superscript"/>
        </w:rPr>
        <w:footnoteReference w:id="262"/>
      </w:r>
      <w:r w:rsidRPr="009F549F">
        <w:rPr>
          <w:rFonts w:eastAsia="Century Schoolbook"/>
        </w:rPr>
        <w:t xml:space="preserve"> Another potential approach involves attempting to </w:t>
      </w:r>
      <w:r w:rsidR="000C737B">
        <w:rPr>
          <w:rFonts w:eastAsia="Century Schoolbook"/>
        </w:rPr>
        <w:t>repair</w:t>
      </w:r>
      <w:r w:rsidR="000C737B" w:rsidRPr="009F549F">
        <w:rPr>
          <w:rFonts w:eastAsia="Century Schoolbook"/>
        </w:rPr>
        <w:t xml:space="preserve"> </w:t>
      </w:r>
      <w:r w:rsidRPr="009F549F">
        <w:rPr>
          <w:rFonts w:eastAsia="Century Schoolbook"/>
        </w:rPr>
        <w:t>the income tax directly. Specifically, scholars have discussed replacing the income tax’s realization doctrine with mark-to-market rules for nearly a century.</w:t>
      </w:r>
      <w:r w:rsidRPr="009F549F">
        <w:rPr>
          <w:rFonts w:eastAsia="Century Schoolbook"/>
          <w:vertAlign w:val="superscript"/>
        </w:rPr>
        <w:footnoteReference w:id="263"/>
      </w:r>
      <w:r w:rsidRPr="009F549F">
        <w:rPr>
          <w:rFonts w:eastAsia="Century Schoolbook"/>
        </w:rPr>
        <w:t xml:space="preserve"> These mark-to-market approaches to reform would tax gains or losses as they accrue, without waiting for sales or other realization events, and thereby could end the major forms of gaming that currently allow wealthy taxpayers to escape the income tax.</w:t>
      </w:r>
      <w:r w:rsidRPr="009F549F">
        <w:rPr>
          <w:rFonts w:eastAsia="Century Schoolbook"/>
          <w:vertAlign w:val="superscript"/>
        </w:rPr>
        <w:footnoteReference w:id="264"/>
      </w:r>
      <w:r w:rsidRPr="009F549F">
        <w:rPr>
          <w:rFonts w:eastAsia="Century Schoolbook"/>
        </w:rPr>
        <w:t xml:space="preserve"> However, the conventional wisdom among tax experts has generally concluded that mark-to-market rules can only successfully be applied to narrow categories of assets because of valuation problems.</w:t>
      </w:r>
      <w:r w:rsidRPr="009F549F">
        <w:rPr>
          <w:rFonts w:eastAsia="Century Schoolbook"/>
          <w:vertAlign w:val="superscript"/>
        </w:rPr>
        <w:footnoteReference w:id="265"/>
      </w:r>
    </w:p>
    <w:p w14:paraId="3BA33E81" w14:textId="6A3F73D7" w:rsidR="007B1344" w:rsidRPr="009F549F" w:rsidRDefault="002347BA">
      <w:pPr>
        <w:spacing w:before="240" w:after="240"/>
        <w:ind w:firstLine="720"/>
        <w:jc w:val="both"/>
        <w:rPr>
          <w:rFonts w:eastAsia="Century Schoolbook"/>
        </w:rPr>
      </w:pPr>
      <w:r w:rsidRPr="009F549F">
        <w:rPr>
          <w:rFonts w:eastAsia="Century Schoolbook"/>
        </w:rPr>
        <w:t xml:space="preserve">That conventional wisdom has been challenged some in recent years, especially by the proponents of Senator Wyden’s Billionaires Income Tax </w:t>
      </w:r>
      <w:r w:rsidRPr="00036097">
        <w:rPr>
          <w:rFonts w:eastAsia="Century Schoolbook"/>
        </w:rPr>
        <w:t>(</w:t>
      </w:r>
      <w:r w:rsidR="00983776" w:rsidRPr="00036097">
        <w:rPr>
          <w:rFonts w:eastAsia="Century Schoolbook"/>
        </w:rPr>
        <w:t>“</w:t>
      </w:r>
      <w:r w:rsidRPr="009F549F">
        <w:rPr>
          <w:rFonts w:eastAsia="Century Schoolbook"/>
        </w:rPr>
        <w:t>BIT</w:t>
      </w:r>
      <w:r w:rsidR="00983776" w:rsidRPr="00036097">
        <w:rPr>
          <w:rFonts w:eastAsia="Century Schoolbook"/>
        </w:rPr>
        <w:t>”</w:t>
      </w:r>
      <w:r w:rsidRPr="00036097">
        <w:rPr>
          <w:rFonts w:eastAsia="Century Schoolbook"/>
        </w:rPr>
        <w:t>)</w:t>
      </w:r>
      <w:r w:rsidRPr="009F549F">
        <w:rPr>
          <w:rFonts w:eastAsia="Century Schoolbook"/>
        </w:rPr>
        <w:t xml:space="preserve"> reform proposal</w:t>
      </w:r>
      <w:r w:rsidR="00E402E9">
        <w:rPr>
          <w:rFonts w:eastAsia="Century Schoolbook"/>
        </w:rPr>
        <w:t>,</w:t>
      </w:r>
      <w:r w:rsidRPr="00036097">
        <w:rPr>
          <w:rFonts w:eastAsia="Century Schoolbook"/>
        </w:rPr>
        <w:t xml:space="preserve"> </w:t>
      </w:r>
      <w:r w:rsidR="00E402E9">
        <w:rPr>
          <w:rFonts w:eastAsia="Century Schoolbook"/>
        </w:rPr>
        <w:t>which</w:t>
      </w:r>
      <w:r w:rsidRPr="009F549F">
        <w:rPr>
          <w:rFonts w:eastAsia="Century Schoolbook"/>
        </w:rPr>
        <w:t xml:space="preserve"> we described in Part II.C.</w:t>
      </w:r>
      <w:r w:rsidRPr="009F549F">
        <w:rPr>
          <w:rFonts w:eastAsia="Century Schoolbook"/>
          <w:vertAlign w:val="superscript"/>
        </w:rPr>
        <w:footnoteReference w:id="266"/>
      </w:r>
      <w:r w:rsidRPr="009F549F">
        <w:rPr>
          <w:rFonts w:eastAsia="Century Schoolbook"/>
        </w:rPr>
        <w:t xml:space="preserve"> Yet even that reform proposal </w:t>
      </w:r>
      <w:r w:rsidRPr="009F549F">
        <w:rPr>
          <w:rFonts w:eastAsia="Century Schoolbook"/>
        </w:rPr>
        <w:lastRenderedPageBreak/>
        <w:t>would have only applied mark-to-market rules to publicly traded assets. For non</w:t>
      </w:r>
      <w:r w:rsidR="0070085B">
        <w:rPr>
          <w:rFonts w:eastAsia="Century Schoolbook"/>
        </w:rPr>
        <w:t>-</w:t>
      </w:r>
      <w:r w:rsidRPr="009F549F">
        <w:rPr>
          <w:rFonts w:eastAsia="Century Schoolbook"/>
        </w:rPr>
        <w:t>publicly</w:t>
      </w:r>
      <w:r w:rsidR="0070085B">
        <w:rPr>
          <w:rStyle w:val="CommentReference"/>
          <w:rFonts w:eastAsia="Arial"/>
          <w:sz w:val="24"/>
          <w:szCs w:val="24"/>
          <w:lang w:val="en"/>
        </w:rPr>
        <w:t>-</w:t>
      </w:r>
      <w:r w:rsidR="0057405B" w:rsidRPr="009F549F">
        <w:rPr>
          <w:rStyle w:val="CommentReference"/>
          <w:rFonts w:eastAsia="Arial"/>
          <w:sz w:val="24"/>
          <w:lang w:val="en"/>
        </w:rPr>
        <w:t>t</w:t>
      </w:r>
      <w:proofErr w:type="spellStart"/>
      <w:r w:rsidRPr="009F549F">
        <w:rPr>
          <w:rFonts w:eastAsia="Century Schoolbook"/>
        </w:rPr>
        <w:t>raded</w:t>
      </w:r>
      <w:proofErr w:type="spellEnd"/>
      <w:r w:rsidRPr="009F549F">
        <w:rPr>
          <w:rFonts w:eastAsia="Century Schoolbook"/>
        </w:rPr>
        <w:t xml:space="preserve"> assets, the BIT would have retained the realization doctrine.</w:t>
      </w:r>
      <w:r w:rsidRPr="009F549F">
        <w:rPr>
          <w:rFonts w:eastAsia="Century Schoolbook"/>
          <w:vertAlign w:val="superscript"/>
        </w:rPr>
        <w:footnoteReference w:id="267"/>
      </w:r>
    </w:p>
    <w:p w14:paraId="00A1B070" w14:textId="2E9FBB56" w:rsidR="007B1344" w:rsidRPr="009F549F" w:rsidRDefault="002347BA">
      <w:pPr>
        <w:spacing w:before="240" w:after="240"/>
        <w:ind w:firstLine="720"/>
        <w:jc w:val="both"/>
        <w:rPr>
          <w:rFonts w:eastAsia="Century Schoolbook"/>
        </w:rPr>
      </w:pPr>
      <w:r w:rsidRPr="009F549F">
        <w:rPr>
          <w:rFonts w:eastAsia="Century Schoolbook"/>
        </w:rPr>
        <w:t xml:space="preserve">The central problems here again are valuation and liquidity. For </w:t>
      </w:r>
      <w:proofErr w:type="spellStart"/>
      <w:r w:rsidRPr="009F549F">
        <w:rPr>
          <w:rFonts w:eastAsia="Century Schoolbook"/>
        </w:rPr>
        <w:t>nonpublicly</w:t>
      </w:r>
      <w:proofErr w:type="spellEnd"/>
      <w:r w:rsidRPr="009F549F">
        <w:rPr>
          <w:rFonts w:eastAsia="Century Schoolbook"/>
        </w:rPr>
        <w:t xml:space="preserve"> traded assets, absent a sale, how do we determine the market price for applying mark-to-market rules? As we discussed in Part II, all of the prior approaches for addressing this valuation challenge have serious limitations and weaknesses. Furthermore, a mixture of policy and political reasons caused the drafters of the BIT to conclude that they could not require liquidity</w:t>
      </w:r>
      <w:r w:rsidR="001A5AED">
        <w:rPr>
          <w:rFonts w:eastAsia="Century Schoolbook"/>
        </w:rPr>
        <w:t>-</w:t>
      </w:r>
      <w:r w:rsidRPr="009F549F">
        <w:rPr>
          <w:rFonts w:eastAsia="Century Schoolbook"/>
        </w:rPr>
        <w:t xml:space="preserve">constrained taxpayers to pay tax currently on the unrealized gains from their </w:t>
      </w:r>
      <w:proofErr w:type="spellStart"/>
      <w:r w:rsidRPr="009F549F">
        <w:rPr>
          <w:rFonts w:eastAsia="Century Schoolbook"/>
        </w:rPr>
        <w:t>nonpublicly</w:t>
      </w:r>
      <w:proofErr w:type="spellEnd"/>
      <w:r w:rsidRPr="009F549F">
        <w:rPr>
          <w:rFonts w:eastAsia="Century Schoolbook"/>
        </w:rPr>
        <w:t xml:space="preserve"> traded assets.</w:t>
      </w:r>
      <w:r w:rsidRPr="009F549F">
        <w:rPr>
          <w:rFonts w:eastAsia="Century Schoolbook"/>
          <w:vertAlign w:val="superscript"/>
        </w:rPr>
        <w:footnoteReference w:id="268"/>
      </w:r>
    </w:p>
    <w:p w14:paraId="55FA566F" w14:textId="4F897A7C" w:rsidR="007B1344" w:rsidRPr="009F549F" w:rsidRDefault="002347BA">
      <w:pPr>
        <w:spacing w:before="240" w:after="240"/>
        <w:ind w:firstLine="720"/>
        <w:jc w:val="both"/>
        <w:rPr>
          <w:rFonts w:eastAsia="Century Schoolbook"/>
        </w:rPr>
      </w:pPr>
      <w:r w:rsidRPr="009F549F">
        <w:rPr>
          <w:rFonts w:eastAsia="Century Schoolbook"/>
        </w:rPr>
        <w:t>We supported Senator Wyden’s BIT proposal based on our view that it offered a substantial improvement over the deeply flawed existing income tax.</w:t>
      </w:r>
      <w:r w:rsidRPr="009F549F">
        <w:rPr>
          <w:rFonts w:eastAsia="Century Schoolbook"/>
          <w:vertAlign w:val="superscript"/>
        </w:rPr>
        <w:footnoteReference w:id="269"/>
      </w:r>
      <w:r w:rsidRPr="009F549F">
        <w:rPr>
          <w:rFonts w:eastAsia="Century Schoolbook"/>
        </w:rPr>
        <w:t xml:space="preserve"> But we also thought that the proposal was insufficient with respect to </w:t>
      </w:r>
      <w:proofErr w:type="spellStart"/>
      <w:r w:rsidRPr="009F549F">
        <w:rPr>
          <w:rFonts w:eastAsia="Century Schoolbook"/>
        </w:rPr>
        <w:t>nonpublicly</w:t>
      </w:r>
      <w:proofErr w:type="spellEnd"/>
      <w:r w:rsidRPr="009F549F">
        <w:rPr>
          <w:rFonts w:eastAsia="Century Schoolbook"/>
        </w:rPr>
        <w:t xml:space="preserve"> traded assets and that it would thus have been quite vulnerable to gaming based on exploiting the </w:t>
      </w:r>
      <w:proofErr w:type="spellStart"/>
      <w:r w:rsidRPr="009F549F">
        <w:rPr>
          <w:rFonts w:eastAsia="Century Schoolbook"/>
        </w:rPr>
        <w:t>undertaxation</w:t>
      </w:r>
      <w:proofErr w:type="spellEnd"/>
      <w:r w:rsidRPr="009F549F">
        <w:rPr>
          <w:rFonts w:eastAsia="Century Schoolbook"/>
        </w:rPr>
        <w:t xml:space="preserve"> of deferred tax liabilities.</w:t>
      </w:r>
      <w:r w:rsidRPr="009F549F">
        <w:rPr>
          <w:rFonts w:eastAsia="Century Schoolbook"/>
          <w:vertAlign w:val="superscript"/>
        </w:rPr>
        <w:footnoteReference w:id="270"/>
      </w:r>
      <w:r w:rsidRPr="009F549F">
        <w:rPr>
          <w:rFonts w:eastAsia="Century Schoolbook"/>
        </w:rPr>
        <w:t xml:space="preserve"> As we will now explain, applying our ULTRA solution could fix these key weaknesses of the BIT or of other mark-to-market income tax reforms. </w:t>
      </w:r>
    </w:p>
    <w:p w14:paraId="7FD2BE6F" w14:textId="76929D3C" w:rsidR="007B1344" w:rsidRPr="009F549F" w:rsidRDefault="002347BA">
      <w:pPr>
        <w:spacing w:before="240" w:after="240"/>
        <w:ind w:firstLine="720"/>
        <w:jc w:val="both"/>
        <w:rPr>
          <w:rFonts w:eastAsia="Century Schoolbook"/>
        </w:rPr>
      </w:pPr>
      <w:r w:rsidRPr="009F549F">
        <w:rPr>
          <w:rFonts w:eastAsia="Century Schoolbook"/>
        </w:rPr>
        <w:t xml:space="preserve">Indeed, after this Article was accepted for publication, we were asked to help draft legislation to implement another variation of a mark-to-market reform targeted at billionaires and </w:t>
      </w:r>
      <w:proofErr w:type="spellStart"/>
      <w:r w:rsidRPr="009F549F">
        <w:rPr>
          <w:rFonts w:eastAsia="Century Schoolbook"/>
        </w:rPr>
        <w:t>megamillionaires</w:t>
      </w:r>
      <w:proofErr w:type="spellEnd"/>
      <w:r w:rsidRPr="009F549F">
        <w:rPr>
          <w:rFonts w:eastAsia="Century Schoolbook"/>
        </w:rPr>
        <w:t xml:space="preserve">—President </w:t>
      </w:r>
      <w:r w:rsidR="00203542" w:rsidRPr="00036097">
        <w:rPr>
          <w:rFonts w:eastAsia="Century Schoolbook"/>
        </w:rPr>
        <w:t xml:space="preserve">Joe </w:t>
      </w:r>
      <w:r w:rsidRPr="009F549F">
        <w:rPr>
          <w:rFonts w:eastAsia="Century Schoolbook"/>
        </w:rPr>
        <w:t xml:space="preserve">Biden’s </w:t>
      </w:r>
      <w:r w:rsidR="000B1031">
        <w:rPr>
          <w:rFonts w:ascii="Century Schoolbook" w:eastAsia="Century Schoolbook" w:hAnsi="Century Schoolbook" w:cs="Century Schoolbook"/>
        </w:rPr>
        <w:t xml:space="preserve">proposed </w:t>
      </w:r>
      <w:r>
        <w:rPr>
          <w:rFonts w:ascii="Century Schoolbook" w:eastAsia="Century Schoolbook" w:hAnsi="Century Schoolbook" w:cs="Century Schoolbook"/>
        </w:rPr>
        <w:t>Billionaire</w:t>
      </w:r>
      <w:r w:rsidR="000B1031">
        <w:rPr>
          <w:rFonts w:ascii="Century Schoolbook" w:eastAsia="Century Schoolbook" w:hAnsi="Century Schoolbook" w:cs="Century Schoolbook"/>
        </w:rPr>
        <w:t>s</w:t>
      </w:r>
      <w:r w:rsidRPr="009F549F">
        <w:rPr>
          <w:rFonts w:eastAsia="Century Schoolbook"/>
        </w:rPr>
        <w:t xml:space="preserve"> Minimum Income Tax. President Biden proposed the broad outlines </w:t>
      </w:r>
      <w:r w:rsidRPr="009F549F">
        <w:rPr>
          <w:rFonts w:eastAsia="Century Schoolbook"/>
        </w:rPr>
        <w:lastRenderedPageBreak/>
        <w:t xml:space="preserve">for this reform in his budget for 2022, and we were then asked to assist </w:t>
      </w:r>
      <w:r w:rsidR="009F32FE" w:rsidRPr="00036097">
        <w:rPr>
          <w:rFonts w:eastAsia="Century Schoolbook"/>
        </w:rPr>
        <w:t>c</w:t>
      </w:r>
      <w:r w:rsidRPr="009F549F">
        <w:rPr>
          <w:rFonts w:eastAsia="Century Schoolbook"/>
        </w:rPr>
        <w:t>ongressional staff with drafting legislation for this proposed reform during the spring and summer of 2022. That proposed legislation was then introduced in the House in</w:t>
      </w:r>
      <w:r w:rsidR="00ED3C31" w:rsidRPr="009F549F">
        <w:rPr>
          <w:rFonts w:eastAsia="Century Schoolbook"/>
        </w:rPr>
        <w:t xml:space="preserve"> July 2022</w:t>
      </w:r>
      <w:r w:rsidRPr="009F549F">
        <w:rPr>
          <w:rFonts w:eastAsia="Century Schoolbook"/>
        </w:rPr>
        <w:t>.</w:t>
      </w:r>
      <w:r w:rsidR="00ED3C31" w:rsidRPr="009F549F">
        <w:rPr>
          <w:rStyle w:val="FootnoteReference"/>
          <w:rFonts w:eastAsia="Century Schoolbook"/>
        </w:rPr>
        <w:footnoteReference w:id="271"/>
      </w:r>
      <w:r w:rsidRPr="009F549F">
        <w:rPr>
          <w:rFonts w:eastAsia="Century Schoolbook"/>
        </w:rPr>
        <w:t xml:space="preserve"> Building on our work for this Article, </w:t>
      </w:r>
      <w:r w:rsidRPr="00036097">
        <w:rPr>
          <w:rFonts w:eastAsia="Century Schoolbook"/>
        </w:rPr>
        <w:t>th</w:t>
      </w:r>
      <w:r w:rsidR="00E92787">
        <w:rPr>
          <w:rFonts w:eastAsia="Century Schoolbook"/>
        </w:rPr>
        <w:t>e</w:t>
      </w:r>
      <w:r w:rsidRPr="009F549F">
        <w:rPr>
          <w:rFonts w:eastAsia="Century Schoolbook"/>
        </w:rPr>
        <w:t xml:space="preserve"> proposed legislation uses the ULTRA mechanism to solve the valuation challenge for illiquid taxpayers and designated hard-to-value nontraded assets.</w:t>
      </w:r>
      <w:r w:rsidR="00ED3C31" w:rsidRPr="009F549F">
        <w:rPr>
          <w:rStyle w:val="FootnoteReference"/>
          <w:rFonts w:eastAsia="Century Schoolbook"/>
        </w:rPr>
        <w:footnoteReference w:id="272"/>
      </w:r>
    </w:p>
    <w:p w14:paraId="52E09305" w14:textId="2F7F34C4" w:rsidR="007B1344" w:rsidRPr="009F549F" w:rsidRDefault="002347BA">
      <w:pPr>
        <w:spacing w:before="240" w:after="240"/>
        <w:ind w:firstLine="720"/>
        <w:jc w:val="both"/>
        <w:rPr>
          <w:rFonts w:eastAsia="Century Schoolbook"/>
        </w:rPr>
      </w:pPr>
      <w:r w:rsidRPr="009F549F">
        <w:rPr>
          <w:rFonts w:eastAsia="Century Schoolbook"/>
        </w:rPr>
        <w:t>In other words, this proposed legislation uses the ULTRA mechanism in a similar manner to the proposed California Tax on Extreme Wealth. However, there are some key differences between wealth tax contexts and the context of mark-to-market income tax reforms that require differences in how the ULTRA mechanism is applied. The first key difference involves the question of how to determine the government’s notional equity interest. Under a mark-to-market income tax reform, the government is only supposed to have a claim on the increase in value of assets</w:t>
      </w:r>
      <w:r w:rsidR="00E92787">
        <w:rPr>
          <w:rFonts w:eastAsia="Century Schoolbook"/>
        </w:rPr>
        <w:t xml:space="preserve">, </w:t>
      </w:r>
      <w:r w:rsidRPr="009F549F">
        <w:rPr>
          <w:rFonts w:eastAsia="Century Schoolbook"/>
        </w:rPr>
        <w:t>not on the entire value of the assets. Consequently, an additional step is needed to calculate the government’s notional equity interest as compared to with wealth tax reforms.</w:t>
      </w:r>
    </w:p>
    <w:p w14:paraId="0C7519D6" w14:textId="6976379C" w:rsidR="007B1344" w:rsidRPr="009F549F" w:rsidRDefault="002347BA">
      <w:pPr>
        <w:spacing w:before="240" w:after="240"/>
        <w:ind w:firstLine="720"/>
        <w:jc w:val="both"/>
        <w:rPr>
          <w:rFonts w:eastAsia="Century Schoolbook"/>
        </w:rPr>
      </w:pPr>
      <w:r w:rsidRPr="009F549F">
        <w:rPr>
          <w:rFonts w:eastAsia="Century Schoolbook"/>
        </w:rPr>
        <w:t xml:space="preserve">To resolve this first issue, we can rely on the well-known observation that when all assets earn the same rate of return </w:t>
      </w:r>
      <w:r w:rsidRPr="009F549F">
        <w:rPr>
          <w:rFonts w:eastAsia="Century Schoolbook"/>
          <w:i/>
        </w:rPr>
        <w:t>r</w:t>
      </w:r>
      <w:r w:rsidRPr="009F549F">
        <w:rPr>
          <w:rFonts w:eastAsia="Century Schoolbook"/>
        </w:rPr>
        <w:t xml:space="preserve">, a wealth tax with rate </w:t>
      </w:r>
      <w:proofErr w:type="spellStart"/>
      <w:r w:rsidRPr="009F549F">
        <w:rPr>
          <w:rFonts w:eastAsia="Century Schoolbook"/>
          <w:i/>
        </w:rPr>
        <w:t>t</w:t>
      </w:r>
      <w:r w:rsidRPr="009F549F">
        <w:rPr>
          <w:rFonts w:eastAsia="Century Schoolbook"/>
          <w:i/>
          <w:vertAlign w:val="subscript"/>
        </w:rPr>
        <w:t>w</w:t>
      </w:r>
      <w:proofErr w:type="spellEnd"/>
      <w:r w:rsidRPr="009F549F">
        <w:rPr>
          <w:rFonts w:eastAsia="Century Schoolbook"/>
        </w:rPr>
        <w:t xml:space="preserve"> is economically equivalent to an income tax with rate </w:t>
      </w:r>
      <w:proofErr w:type="spellStart"/>
      <w:r w:rsidRPr="009F549F">
        <w:rPr>
          <w:rFonts w:eastAsia="Century Schoolbook"/>
          <w:i/>
        </w:rPr>
        <w:t>t</w:t>
      </w:r>
      <w:r w:rsidRPr="009F549F">
        <w:rPr>
          <w:rFonts w:eastAsia="Century Schoolbook"/>
          <w:i/>
          <w:vertAlign w:val="subscript"/>
        </w:rPr>
        <w:t>w</w:t>
      </w:r>
      <w:proofErr w:type="spellEnd"/>
      <w:r w:rsidRPr="009F549F">
        <w:rPr>
          <w:rFonts w:eastAsia="Century Schoolbook"/>
          <w:i/>
        </w:rPr>
        <w:t xml:space="preserve"> </w:t>
      </w:r>
      <w:r w:rsidRPr="009F549F">
        <w:rPr>
          <w:rFonts w:eastAsia="Century Schoolbook"/>
        </w:rPr>
        <w:t>/</w:t>
      </w:r>
      <w:r w:rsidRPr="009F549F">
        <w:rPr>
          <w:rFonts w:eastAsia="Century Schoolbook"/>
          <w:i/>
        </w:rPr>
        <w:t xml:space="preserve"> r</w:t>
      </w:r>
      <w:r w:rsidRPr="009F549F">
        <w:rPr>
          <w:rFonts w:eastAsia="Century Schoolbook"/>
        </w:rPr>
        <w:t>.</w:t>
      </w:r>
      <w:r w:rsidRPr="009F549F">
        <w:rPr>
          <w:rFonts w:eastAsia="Century Schoolbook"/>
          <w:vertAlign w:val="superscript"/>
        </w:rPr>
        <w:footnoteReference w:id="273"/>
      </w:r>
      <w:r w:rsidRPr="009F549F">
        <w:rPr>
          <w:rFonts w:eastAsia="Century Schoolbook"/>
        </w:rPr>
        <w:t xml:space="preserve"> Thus, from an ex</w:t>
      </w:r>
      <w:r w:rsidR="00850C02" w:rsidRPr="00036097">
        <w:rPr>
          <w:rFonts w:eastAsia="Century Schoolbook"/>
        </w:rPr>
        <w:t xml:space="preserve"> </w:t>
      </w:r>
      <w:r w:rsidRPr="009F549F">
        <w:rPr>
          <w:rFonts w:eastAsia="Century Schoolbook"/>
        </w:rPr>
        <w:t>ante perspective, any wealth</w:t>
      </w:r>
      <w:r w:rsidR="00476C0B" w:rsidRPr="009F549F">
        <w:rPr>
          <w:rFonts w:eastAsia="Century Schoolbook"/>
        </w:rPr>
        <w:t xml:space="preserve"> </w:t>
      </w:r>
      <w:r w:rsidRPr="009F549F">
        <w:rPr>
          <w:rFonts w:eastAsia="Century Schoolbook"/>
        </w:rPr>
        <w:t>tax method can be translated into an income tax method simply by assuming a presumptive rate of return for all assets, such as 5</w:t>
      </w:r>
      <w:r w:rsidR="00850C02" w:rsidRPr="00036097">
        <w:rPr>
          <w:rFonts w:eastAsia="Century Schoolbook"/>
        </w:rPr>
        <w:t xml:space="preserve"> percent</w:t>
      </w:r>
      <w:r w:rsidRPr="009F549F">
        <w:rPr>
          <w:rFonts w:eastAsia="Century Schoolbook"/>
        </w:rPr>
        <w:t>. Algebraically, this equivalence (</w:t>
      </w:r>
      <w:proofErr w:type="spellStart"/>
      <w:r w:rsidRPr="009F549F">
        <w:rPr>
          <w:rFonts w:eastAsia="Century Schoolbook"/>
          <w:i/>
        </w:rPr>
        <w:t>t</w:t>
      </w:r>
      <w:r w:rsidRPr="009F549F">
        <w:rPr>
          <w:rFonts w:eastAsia="Century Schoolbook"/>
          <w:i/>
          <w:vertAlign w:val="subscript"/>
        </w:rPr>
        <w:t>i</w:t>
      </w:r>
      <w:proofErr w:type="spellEnd"/>
      <w:r w:rsidRPr="009F549F">
        <w:rPr>
          <w:rFonts w:eastAsia="Century Schoolbook"/>
        </w:rPr>
        <w:t xml:space="preserve"> = </w:t>
      </w:r>
      <w:proofErr w:type="spellStart"/>
      <w:r w:rsidRPr="009F549F">
        <w:rPr>
          <w:rFonts w:eastAsia="Century Schoolbook"/>
          <w:i/>
        </w:rPr>
        <w:t>t</w:t>
      </w:r>
      <w:r w:rsidRPr="009F549F">
        <w:rPr>
          <w:rFonts w:eastAsia="Century Schoolbook"/>
          <w:i/>
          <w:vertAlign w:val="subscript"/>
        </w:rPr>
        <w:t>w</w:t>
      </w:r>
      <w:proofErr w:type="spellEnd"/>
      <w:r w:rsidRPr="009F549F">
        <w:rPr>
          <w:rFonts w:eastAsia="Century Schoolbook"/>
        </w:rPr>
        <w:t xml:space="preserve"> / </w:t>
      </w:r>
      <w:r w:rsidRPr="009F549F">
        <w:rPr>
          <w:rFonts w:eastAsia="Century Schoolbook"/>
          <w:i/>
        </w:rPr>
        <w:t>r</w:t>
      </w:r>
      <w:r w:rsidRPr="009F549F">
        <w:rPr>
          <w:rFonts w:eastAsia="Century Schoolbook"/>
        </w:rPr>
        <w:t>) implies that government’s notional equity interest accumulated each year should be the applicable income</w:t>
      </w:r>
      <w:r w:rsidR="00476C0B" w:rsidRPr="00036097">
        <w:rPr>
          <w:rFonts w:eastAsia="Century Schoolbook"/>
        </w:rPr>
        <w:t xml:space="preserve"> </w:t>
      </w:r>
      <w:r w:rsidRPr="009F549F">
        <w:rPr>
          <w:rFonts w:eastAsia="Century Schoolbook"/>
        </w:rPr>
        <w:t>tax rate multiplied by the presumptive rate of return (</w:t>
      </w:r>
      <w:proofErr w:type="spellStart"/>
      <w:r w:rsidRPr="009F549F">
        <w:rPr>
          <w:rFonts w:eastAsia="Century Schoolbook"/>
          <w:i/>
        </w:rPr>
        <w:t>t</w:t>
      </w:r>
      <w:r w:rsidRPr="009F549F">
        <w:rPr>
          <w:rFonts w:eastAsia="Century Schoolbook"/>
          <w:i/>
          <w:vertAlign w:val="subscript"/>
        </w:rPr>
        <w:t>i</w:t>
      </w:r>
      <w:proofErr w:type="spellEnd"/>
      <w:r w:rsidRPr="009F549F">
        <w:rPr>
          <w:rFonts w:eastAsia="Century Schoolbook"/>
        </w:rPr>
        <w:t xml:space="preserve"> </w:t>
      </w:r>
      <w:r w:rsidR="00017EB7">
        <w:rPr>
          <w:rFonts w:eastAsia="Century Schoolbook"/>
        </w:rPr>
        <w:t>×</w:t>
      </w:r>
      <w:r w:rsidRPr="009F549F">
        <w:rPr>
          <w:rFonts w:eastAsia="Century Schoolbook"/>
        </w:rPr>
        <w:t xml:space="preserve"> </w:t>
      </w:r>
      <w:r w:rsidRPr="009F549F">
        <w:rPr>
          <w:rFonts w:eastAsia="Century Schoolbook"/>
          <w:i/>
        </w:rPr>
        <w:t>r</w:t>
      </w:r>
      <w:r w:rsidRPr="009F549F">
        <w:rPr>
          <w:rFonts w:eastAsia="Century Schoolbook"/>
        </w:rPr>
        <w:t>).</w:t>
      </w:r>
    </w:p>
    <w:p w14:paraId="036CD341" w14:textId="467F7663" w:rsidR="007B1344" w:rsidRPr="009F549F" w:rsidRDefault="002347BA">
      <w:pPr>
        <w:spacing w:before="240" w:after="240"/>
        <w:ind w:firstLine="720"/>
        <w:jc w:val="both"/>
        <w:rPr>
          <w:rFonts w:eastAsia="Century Schoolbook"/>
        </w:rPr>
      </w:pPr>
      <w:bookmarkStart w:id="150" w:name="_3l18frh" w:colFirst="0" w:colLast="0"/>
      <w:bookmarkEnd w:id="150"/>
      <w:r w:rsidRPr="009F549F">
        <w:rPr>
          <w:rFonts w:eastAsia="Century Schoolbook"/>
        </w:rPr>
        <w:t xml:space="preserve">In other words, we can calculate a presumptive value for the government’s notional equity interest by multiplying the taxpayer’s applicable income tax rate by </w:t>
      </w:r>
      <w:r w:rsidRPr="009F549F">
        <w:rPr>
          <w:rFonts w:eastAsia="Century Schoolbook"/>
        </w:rPr>
        <w:lastRenderedPageBreak/>
        <w:t>a presumptive rate of return. To facilitate this, the tax authority can be charged with annually reporting an economy-wide presumptive rate of return for purposes of applying the ULTRA method to a mark-to-market reform. This then solves the issue of calculating the government’s notional equity interest, at least on an ex</w:t>
      </w:r>
      <w:r w:rsidR="00476C0B" w:rsidRPr="00036097">
        <w:rPr>
          <w:rFonts w:eastAsia="Century Schoolbook"/>
        </w:rPr>
        <w:t xml:space="preserve"> </w:t>
      </w:r>
      <w:r w:rsidRPr="009F549F">
        <w:rPr>
          <w:rFonts w:eastAsia="Century Schoolbook"/>
        </w:rPr>
        <w:t>ante presumptive basis.</w:t>
      </w:r>
      <w:r w:rsidRPr="009F549F">
        <w:rPr>
          <w:rFonts w:eastAsia="Century Schoolbook"/>
          <w:vertAlign w:val="superscript"/>
        </w:rPr>
        <w:footnoteReference w:id="274"/>
      </w:r>
      <w:r w:rsidRPr="009F549F">
        <w:rPr>
          <w:rFonts w:eastAsia="Century Schoolbook"/>
        </w:rPr>
        <w:t xml:space="preserve"> To mitigate political optionality and liquidity concerns, taxpayers could make prepayments each year equal to the incremental amount of the </w:t>
      </w:r>
      <w:r w:rsidRPr="00036097">
        <w:rPr>
          <w:rFonts w:eastAsia="Century Schoolbook"/>
        </w:rPr>
        <w:t>government</w:t>
      </w:r>
      <w:r w:rsidR="00E0080A">
        <w:rPr>
          <w:rFonts w:eastAsia="Century Schoolbook"/>
        </w:rPr>
        <w:t>’</w:t>
      </w:r>
      <w:r w:rsidRPr="00036097">
        <w:rPr>
          <w:rFonts w:eastAsia="Century Schoolbook"/>
        </w:rPr>
        <w:t>s</w:t>
      </w:r>
      <w:r w:rsidRPr="009F549F">
        <w:rPr>
          <w:rFonts w:eastAsia="Century Schoolbook"/>
        </w:rPr>
        <w:t xml:space="preserve"> notional interest. </w:t>
      </w:r>
    </w:p>
    <w:p w14:paraId="00F1140C" w14:textId="3B7A3D26" w:rsidR="007B1344" w:rsidRPr="009F549F" w:rsidRDefault="002347BA">
      <w:pPr>
        <w:spacing w:before="240" w:after="240"/>
        <w:ind w:firstLine="720"/>
        <w:jc w:val="both"/>
        <w:rPr>
          <w:rFonts w:eastAsia="Century Schoolbook"/>
        </w:rPr>
      </w:pPr>
      <w:r w:rsidRPr="009F549F">
        <w:rPr>
          <w:rFonts w:eastAsia="Century Schoolbook"/>
        </w:rPr>
        <w:t xml:space="preserve">However, this then raises the second key question of how to apply the ULTRA method to mark-to-market income tax reforms: </w:t>
      </w:r>
      <w:r w:rsidR="00CD5629" w:rsidRPr="00036097">
        <w:rPr>
          <w:rFonts w:eastAsia="Century Schoolbook"/>
        </w:rPr>
        <w:t>W</w:t>
      </w:r>
      <w:r w:rsidRPr="00036097">
        <w:rPr>
          <w:rFonts w:eastAsia="Century Schoolbook"/>
        </w:rPr>
        <w:t>hat</w:t>
      </w:r>
      <w:r w:rsidR="004119CA">
        <w:rPr>
          <w:rFonts w:eastAsia="Century Schoolbook"/>
        </w:rPr>
        <w:t xml:space="preserve"> </w:t>
      </w:r>
      <w:r w:rsidR="00E0080A" w:rsidRPr="009F549F">
        <w:rPr>
          <w:rFonts w:eastAsia="Century Schoolbook"/>
        </w:rPr>
        <w:t xml:space="preserve">to </w:t>
      </w:r>
      <w:r w:rsidR="00E0080A">
        <w:rPr>
          <w:rFonts w:eastAsia="Century Schoolbook"/>
        </w:rPr>
        <w:t>do</w:t>
      </w:r>
      <w:r w:rsidR="00DC5DD5">
        <w:rPr>
          <w:rFonts w:ascii="Century Schoolbook" w:eastAsia="Century Schoolbook" w:hAnsi="Century Schoolbook" w:cs="Century Schoolbook"/>
        </w:rPr>
        <w:t xml:space="preserve"> </w:t>
      </w:r>
      <w:r w:rsidRPr="009F549F">
        <w:rPr>
          <w:rFonts w:eastAsia="Century Schoolbook"/>
        </w:rPr>
        <w:t>on an ex</w:t>
      </w:r>
      <w:r w:rsidR="00CD5629" w:rsidRPr="00036097">
        <w:rPr>
          <w:rFonts w:eastAsia="Century Schoolbook"/>
        </w:rPr>
        <w:t xml:space="preserve"> </w:t>
      </w:r>
      <w:r w:rsidRPr="009F549F">
        <w:rPr>
          <w:rFonts w:eastAsia="Century Schoolbook"/>
        </w:rPr>
        <w:t>post basis? That is, once all of the assets within an ULTRA have been sold or withdrawn, how do we then calculate the final tax assessment? Unlike with a wealth tax reform, we cannot simply apply the percentage we calculated for the government’s notional equity interest because here that is just a presumptive calculation that cannot be used to measure the taxpayer’s actual gains or losses on an ex</w:t>
      </w:r>
      <w:r w:rsidR="00704B80" w:rsidRPr="00036097">
        <w:rPr>
          <w:rFonts w:eastAsia="Century Schoolbook"/>
        </w:rPr>
        <w:t xml:space="preserve"> </w:t>
      </w:r>
      <w:r w:rsidRPr="009F549F">
        <w:rPr>
          <w:rFonts w:eastAsia="Century Schoolbook"/>
        </w:rPr>
        <w:t>post basis.</w:t>
      </w:r>
    </w:p>
    <w:p w14:paraId="3B9AC303" w14:textId="5E6B8602" w:rsidR="007B1344" w:rsidRPr="009F549F" w:rsidRDefault="002347BA">
      <w:pPr>
        <w:spacing w:before="240" w:after="240"/>
        <w:ind w:firstLine="720"/>
        <w:jc w:val="both"/>
        <w:rPr>
          <w:rFonts w:eastAsia="Century Schoolbook"/>
        </w:rPr>
      </w:pPr>
      <w:r w:rsidRPr="009F549F">
        <w:rPr>
          <w:rFonts w:eastAsia="Century Schoolbook"/>
        </w:rPr>
        <w:t xml:space="preserve">To solve this second key issue of determining the final tax calculation upon ultimate sale or withdrawal of all assets from an ULTRA, we can integrate the ULTRA method with a retrospective reform. In this manner, the ULTRA method effectively becomes a form of withholding system for applying mark-to-market rules until such time as all of the assets in the ULTRA are sold or withdrawn. At </w:t>
      </w:r>
      <w:r w:rsidRPr="009F549F">
        <w:rPr>
          <w:rFonts w:eastAsia="Century Schoolbook"/>
        </w:rPr>
        <w:lastRenderedPageBreak/>
        <w:t xml:space="preserve">that time, a retrospective reform can be applied for calculating the actual income earned by the assets </w:t>
      </w:r>
      <w:r w:rsidR="00E0080A">
        <w:rPr>
          <w:rFonts w:eastAsia="Century Schoolbook"/>
        </w:rPr>
        <w:t>to</w:t>
      </w:r>
      <w:r w:rsidRPr="00036097">
        <w:rPr>
          <w:rFonts w:eastAsia="Century Schoolbook"/>
        </w:rPr>
        <w:t xml:space="preserve"> determin</w:t>
      </w:r>
      <w:r w:rsidR="00E0080A">
        <w:rPr>
          <w:rFonts w:eastAsia="Century Schoolbook"/>
        </w:rPr>
        <w:t>e</w:t>
      </w:r>
      <w:r w:rsidRPr="009F549F">
        <w:rPr>
          <w:rFonts w:eastAsia="Century Schoolbook"/>
        </w:rPr>
        <w:t xml:space="preserve"> the final tax assessment.</w:t>
      </w:r>
    </w:p>
    <w:p w14:paraId="3B381BD7" w14:textId="1AB89C4A" w:rsidR="007B1344" w:rsidRPr="009F549F" w:rsidRDefault="002347BA">
      <w:pPr>
        <w:spacing w:before="240" w:after="240"/>
        <w:ind w:firstLine="720"/>
        <w:jc w:val="both"/>
        <w:rPr>
          <w:rFonts w:eastAsia="Century Schoolbook"/>
        </w:rPr>
      </w:pPr>
      <w:r w:rsidRPr="009F549F">
        <w:rPr>
          <w:rFonts w:eastAsia="Century Schoolbook"/>
        </w:rPr>
        <w:t>There have been numerous prior proposals for retrospective reforms, and any of these reforms could potentially be used for this final step of applying the ULTRA method to mark-to-market reforms. A full discussion of the advantages and disadvantages of the different options is beyond the scope of this Article.</w:t>
      </w:r>
      <w:r w:rsidRPr="009F549F">
        <w:rPr>
          <w:rFonts w:eastAsia="Century Schoolbook"/>
          <w:vertAlign w:val="superscript"/>
        </w:rPr>
        <w:footnoteReference w:id="275"/>
      </w:r>
      <w:r w:rsidRPr="009F549F">
        <w:rPr>
          <w:rFonts w:eastAsia="Century Schoolbook"/>
        </w:rPr>
        <w:t xml:space="preserve"> That said, we think that Land’s retrospective reform proposal has some major advantages over alternatives and that Land’s proposal synergizes especially well with applying the ULTRA method to mark-to-market reforms.</w:t>
      </w:r>
    </w:p>
    <w:p w14:paraId="7290CC90" w14:textId="47072046" w:rsidR="007B1344" w:rsidRPr="009F549F" w:rsidRDefault="002347BA">
      <w:pPr>
        <w:spacing w:before="240" w:after="240"/>
        <w:ind w:firstLine="720"/>
        <w:jc w:val="both"/>
        <w:rPr>
          <w:rFonts w:eastAsia="Century Schoolbook"/>
        </w:rPr>
      </w:pPr>
      <w:r w:rsidRPr="009F549F">
        <w:rPr>
          <w:rFonts w:eastAsia="Century Schoolbook"/>
        </w:rPr>
        <w:t>Remember that a primary advantage of Land’s proposal over alternative approaches to retrospective reforms is that, “[r]</w:t>
      </w:r>
      <w:proofErr w:type="spellStart"/>
      <w:r w:rsidRPr="009F549F">
        <w:rPr>
          <w:rFonts w:eastAsia="Century Schoolbook"/>
        </w:rPr>
        <w:t>ather</w:t>
      </w:r>
      <w:proofErr w:type="spellEnd"/>
      <w:r w:rsidRPr="009F549F">
        <w:rPr>
          <w:rFonts w:eastAsia="Century Schoolbook"/>
        </w:rPr>
        <w:t xml:space="preserve"> than viewing the deferred tax as a loan from the government, Land treats it as an equity investment by the government, which would share the future </w:t>
      </w:r>
      <w:proofErr w:type="gramStart"/>
      <w:r w:rsidRPr="009F549F">
        <w:rPr>
          <w:rFonts w:eastAsia="Century Schoolbook"/>
        </w:rPr>
        <w:t xml:space="preserve">earnings </w:t>
      </w:r>
      <w:r w:rsidR="006C2BEC" w:rsidRPr="00036097">
        <w:rPr>
          <w:rFonts w:eastAsia="Century Schoolbook"/>
        </w:rPr>
        <w:t>.</w:t>
      </w:r>
      <w:proofErr w:type="gramEnd"/>
      <w:r w:rsidR="00E0080A">
        <w:rPr>
          <w:rFonts w:eastAsia="Century Schoolbook"/>
        </w:rPr>
        <w:t> </w:t>
      </w:r>
      <w:r w:rsidR="006C2BEC" w:rsidRPr="00036097">
        <w:rPr>
          <w:rFonts w:eastAsia="Century Schoolbook"/>
        </w:rPr>
        <w:t>.</w:t>
      </w:r>
      <w:r w:rsidR="00E0080A">
        <w:rPr>
          <w:rFonts w:eastAsia="Century Schoolbook"/>
        </w:rPr>
        <w:t> </w:t>
      </w:r>
      <w:r w:rsidR="006C2BEC" w:rsidRPr="00036097">
        <w:rPr>
          <w:rFonts w:eastAsia="Century Schoolbook"/>
        </w:rPr>
        <w:t>.</w:t>
      </w:r>
      <w:r w:rsidR="00521EDE" w:rsidRPr="00036097">
        <w:rPr>
          <w:rFonts w:eastAsia="Century Schoolbook"/>
        </w:rPr>
        <w:t xml:space="preserve"> </w:t>
      </w:r>
      <w:r w:rsidRPr="009F549F">
        <w:rPr>
          <w:rFonts w:eastAsia="Century Schoolbook"/>
        </w:rPr>
        <w:t>on a pro rat</w:t>
      </w:r>
      <w:r w:rsidR="00C90F0B">
        <w:rPr>
          <w:rFonts w:eastAsia="Century Schoolbook"/>
        </w:rPr>
        <w:t>a</w:t>
      </w:r>
      <w:r w:rsidRPr="009F549F">
        <w:rPr>
          <w:rFonts w:eastAsia="Century Schoolbook"/>
        </w:rPr>
        <w:t xml:space="preserve"> basis.”</w:t>
      </w:r>
      <w:r w:rsidRPr="009F549F">
        <w:rPr>
          <w:rFonts w:eastAsia="Century Schoolbook"/>
          <w:vertAlign w:val="superscript"/>
        </w:rPr>
        <w:footnoteReference w:id="276"/>
      </w:r>
      <w:r w:rsidRPr="009F549F">
        <w:rPr>
          <w:rFonts w:eastAsia="Century Schoolbook"/>
        </w:rPr>
        <w:t xml:space="preserve"> Consequently, Land’s proposal is the only retrospective method that “derives a formula to produce the correct amount of tax.”</w:t>
      </w:r>
      <w:r w:rsidRPr="009F549F">
        <w:rPr>
          <w:rFonts w:eastAsia="Century Schoolbook"/>
          <w:vertAlign w:val="superscript"/>
        </w:rPr>
        <w:footnoteReference w:id="277"/>
      </w:r>
      <w:r w:rsidRPr="009F549F">
        <w:rPr>
          <w:rFonts w:eastAsia="Century Schoolbook"/>
        </w:rPr>
        <w:t xml:space="preserve"> That is, only Land’s proposal can calculate a final tax assessment that would be exactly the same as applying accrual mark-to-market rules on an ongoing basis.</w:t>
      </w:r>
      <w:r w:rsidRPr="009F549F">
        <w:rPr>
          <w:rFonts w:eastAsia="Century Schoolbook"/>
          <w:vertAlign w:val="superscript"/>
        </w:rPr>
        <w:footnoteReference w:id="278"/>
      </w:r>
      <w:r w:rsidRPr="009F549F">
        <w:rPr>
          <w:rFonts w:eastAsia="Century Schoolbook"/>
        </w:rPr>
        <w:t xml:space="preserve"> By contrast, other approaches for retrospective reforms generally result in either </w:t>
      </w:r>
      <w:proofErr w:type="spellStart"/>
      <w:r w:rsidRPr="009F549F">
        <w:rPr>
          <w:rFonts w:eastAsia="Century Schoolbook"/>
        </w:rPr>
        <w:t>overtaxation</w:t>
      </w:r>
      <w:proofErr w:type="spellEnd"/>
      <w:r w:rsidRPr="009F549F">
        <w:rPr>
          <w:rFonts w:eastAsia="Century Schoolbook"/>
        </w:rPr>
        <w:t xml:space="preserve"> or</w:t>
      </w:r>
      <w:r w:rsidR="00E312E0" w:rsidRPr="00036097">
        <w:rPr>
          <w:rFonts w:eastAsia="Century Schoolbook"/>
        </w:rPr>
        <w:t xml:space="preserve">, </w:t>
      </w:r>
      <w:r w:rsidRPr="009F549F">
        <w:rPr>
          <w:rFonts w:eastAsia="Century Schoolbook"/>
        </w:rPr>
        <w:t>more typically</w:t>
      </w:r>
      <w:r w:rsidR="00E312E0" w:rsidRPr="00036097">
        <w:rPr>
          <w:rFonts w:eastAsia="Century Schoolbook"/>
        </w:rPr>
        <w:t xml:space="preserve">, </w:t>
      </w:r>
      <w:proofErr w:type="spellStart"/>
      <w:r w:rsidRPr="009F549F">
        <w:rPr>
          <w:rFonts w:eastAsia="Century Schoolbook"/>
        </w:rPr>
        <w:t>undertaxation</w:t>
      </w:r>
      <w:proofErr w:type="spellEnd"/>
      <w:r w:rsidRPr="009F549F">
        <w:rPr>
          <w:rFonts w:eastAsia="Century Schoolbook"/>
        </w:rPr>
        <w:t>.</w:t>
      </w:r>
      <w:r w:rsidRPr="009F549F">
        <w:rPr>
          <w:rFonts w:eastAsia="Century Schoolbook"/>
          <w:vertAlign w:val="superscript"/>
        </w:rPr>
        <w:footnoteReference w:id="279"/>
      </w:r>
    </w:p>
    <w:p w14:paraId="380498C3" w14:textId="637A3369" w:rsidR="007B1344" w:rsidRPr="009F549F" w:rsidRDefault="002347BA">
      <w:pPr>
        <w:spacing w:before="240" w:after="240"/>
        <w:jc w:val="both"/>
        <w:rPr>
          <w:rFonts w:eastAsia="Century Schoolbook"/>
        </w:rPr>
      </w:pPr>
      <w:r w:rsidRPr="009F549F">
        <w:rPr>
          <w:rFonts w:eastAsia="Century Schoolbook"/>
        </w:rPr>
        <w:t xml:space="preserve">        </w:t>
      </w:r>
      <w:r w:rsidRPr="009F549F">
        <w:rPr>
          <w:rFonts w:eastAsia="Century Schoolbook"/>
        </w:rPr>
        <w:tab/>
        <w:t>Despite this primary advantage, the advocates of retrospective reforms have generally disfavored Land’s proposal because it cannot handle interim contributions, partial withdrawals, or deemed withdrawals without creating excessive complexity and administrative and compliance burdens.</w:t>
      </w:r>
      <w:r w:rsidRPr="009F549F">
        <w:rPr>
          <w:rFonts w:eastAsia="Century Schoolbook"/>
          <w:vertAlign w:val="superscript"/>
        </w:rPr>
        <w:footnoteReference w:id="280"/>
      </w:r>
      <w:r w:rsidRPr="009F549F">
        <w:rPr>
          <w:rFonts w:eastAsia="Century Schoolbook"/>
        </w:rPr>
        <w:t xml:space="preserve"> Yet </w:t>
      </w:r>
      <w:r w:rsidRPr="009F549F">
        <w:rPr>
          <w:rFonts w:eastAsia="Century Schoolbook"/>
        </w:rPr>
        <w:lastRenderedPageBreak/>
        <w:t xml:space="preserve">integrating Land’s proposal with the ULTRA method solves these issues. As explained in Part III, the ULTRA method readily handles interim contributions, partial withdrawals, and deemed withdrawals. Using the ULTRA method as a withholding mechanism integrated with using Land’s approach for calculating the final tax assessment offers the valuation accuracy of Land’s proposal while mostly solving the administrative and compliance problems that would be created by using Land’s proposal without the ULTRA method. Thus, for example, taxpayers would make withholding payments in the years they receive a dividend or other distribution equal to the value of that distribution times the </w:t>
      </w:r>
      <w:r w:rsidRPr="00036097">
        <w:rPr>
          <w:rFonts w:eastAsia="Century Schoolbook"/>
        </w:rPr>
        <w:t>government</w:t>
      </w:r>
      <w:r w:rsidR="005627EF">
        <w:rPr>
          <w:rFonts w:eastAsia="Century Schoolbook"/>
        </w:rPr>
        <w:t>’</w:t>
      </w:r>
      <w:r w:rsidRPr="00036097">
        <w:rPr>
          <w:rFonts w:eastAsia="Century Schoolbook"/>
        </w:rPr>
        <w:t>s</w:t>
      </w:r>
      <w:r w:rsidRPr="009F549F">
        <w:rPr>
          <w:rFonts w:eastAsia="Century Schoolbook"/>
        </w:rPr>
        <w:t xml:space="preserve"> notional equity share. (We explain further in the Technical Appendix.)</w:t>
      </w:r>
    </w:p>
    <w:p w14:paraId="236552C6" w14:textId="77777777" w:rsidR="007B1344" w:rsidRPr="009F549F" w:rsidRDefault="002347BA">
      <w:pPr>
        <w:spacing w:before="240" w:after="240"/>
        <w:jc w:val="both"/>
        <w:rPr>
          <w:rFonts w:eastAsia="Century Schoolbook"/>
          <w:i/>
        </w:rPr>
      </w:pPr>
      <w:r w:rsidRPr="009F549F">
        <w:rPr>
          <w:rFonts w:eastAsia="Century Schoolbook"/>
          <w:i/>
        </w:rPr>
        <w:t>Example</w:t>
      </w:r>
    </w:p>
    <w:p w14:paraId="012538EB" w14:textId="020618E9" w:rsidR="007B1344" w:rsidRPr="009F549F" w:rsidRDefault="002347BA">
      <w:pPr>
        <w:spacing w:before="240" w:after="240"/>
        <w:ind w:left="720"/>
        <w:jc w:val="both"/>
        <w:rPr>
          <w:rFonts w:eastAsia="Century Schoolbook"/>
        </w:rPr>
      </w:pPr>
      <w:proofErr w:type="spellStart"/>
      <w:r w:rsidRPr="009F549F">
        <w:rPr>
          <w:rFonts w:eastAsia="Century Schoolbook"/>
        </w:rPr>
        <w:t>Marff</w:t>
      </w:r>
      <w:proofErr w:type="spellEnd"/>
      <w:r w:rsidRPr="009F549F">
        <w:rPr>
          <w:rFonts w:eastAsia="Century Schoolbook"/>
        </w:rPr>
        <w:t xml:space="preserve"> buys </w:t>
      </w:r>
      <w:proofErr w:type="spellStart"/>
      <w:r w:rsidRPr="009F549F">
        <w:rPr>
          <w:rFonts w:eastAsia="Century Schoolbook"/>
        </w:rPr>
        <w:t>Spacebook</w:t>
      </w:r>
      <w:proofErr w:type="spellEnd"/>
      <w:r w:rsidRPr="009F549F">
        <w:rPr>
          <w:rFonts w:eastAsia="Century Schoolbook"/>
        </w:rPr>
        <w:t xml:space="preserve"> stock on </w:t>
      </w:r>
      <w:r w:rsidRPr="00036097">
        <w:rPr>
          <w:rFonts w:eastAsia="Century Schoolbook"/>
        </w:rPr>
        <w:t>Jan</w:t>
      </w:r>
      <w:r w:rsidR="00204679" w:rsidRPr="00036097">
        <w:rPr>
          <w:rFonts w:eastAsia="Century Schoolbook"/>
        </w:rPr>
        <w:t>uary</w:t>
      </w:r>
      <w:r w:rsidRPr="009F549F">
        <w:rPr>
          <w:rFonts w:eastAsia="Century Schoolbook"/>
        </w:rPr>
        <w:t xml:space="preserve"> 1</w:t>
      </w:r>
      <w:r w:rsidR="000E6812" w:rsidRPr="00036097">
        <w:rPr>
          <w:rFonts w:eastAsia="Century Schoolbook"/>
        </w:rPr>
        <w:t>,</w:t>
      </w:r>
      <w:r w:rsidRPr="009F549F">
        <w:rPr>
          <w:rFonts w:eastAsia="Century Schoolbook"/>
        </w:rPr>
        <w:t xml:space="preserve"> 2022</w:t>
      </w:r>
      <w:r w:rsidR="000E6812" w:rsidRPr="00036097">
        <w:rPr>
          <w:rFonts w:eastAsia="Century Schoolbook"/>
        </w:rPr>
        <w:t>,</w:t>
      </w:r>
      <w:r w:rsidR="00CF4AD1" w:rsidRPr="00036097">
        <w:rPr>
          <w:rFonts w:eastAsia="Century Schoolbook"/>
        </w:rPr>
        <w:t xml:space="preserve"> </w:t>
      </w:r>
      <w:r w:rsidRPr="009F549F">
        <w:rPr>
          <w:rFonts w:eastAsia="Century Schoolbook"/>
        </w:rPr>
        <w:t>for $</w:t>
      </w:r>
      <w:r w:rsidRPr="00036097">
        <w:rPr>
          <w:rFonts w:eastAsia="Century Schoolbook"/>
        </w:rPr>
        <w:t>1</w:t>
      </w:r>
      <w:r w:rsidR="00A04188" w:rsidRPr="00036097">
        <w:rPr>
          <w:rFonts w:eastAsia="Century Schoolbook"/>
        </w:rPr>
        <w:t xml:space="preserve"> billion</w:t>
      </w:r>
      <w:r w:rsidRPr="009F549F">
        <w:rPr>
          <w:rFonts w:eastAsia="Century Schoolbook"/>
        </w:rPr>
        <w:t>. The stock then increases in value so that it is estimated to be worth $</w:t>
      </w:r>
      <w:r w:rsidRPr="00036097">
        <w:rPr>
          <w:rFonts w:eastAsia="Century Schoolbook"/>
        </w:rPr>
        <w:t>2</w:t>
      </w:r>
      <w:r w:rsidR="00CF4AD1" w:rsidRPr="00036097">
        <w:rPr>
          <w:rFonts w:eastAsia="Century Schoolbook"/>
        </w:rPr>
        <w:t xml:space="preserve"> billion</w:t>
      </w:r>
      <w:r w:rsidRPr="009F549F">
        <w:rPr>
          <w:rFonts w:eastAsia="Century Schoolbook"/>
        </w:rPr>
        <w:t xml:space="preserve"> at the end of 2022. There is a 20</w:t>
      </w:r>
      <w:r w:rsidR="00CF4AD1" w:rsidRPr="00036097">
        <w:rPr>
          <w:rFonts w:eastAsia="Century Schoolbook"/>
        </w:rPr>
        <w:t xml:space="preserve"> percent</w:t>
      </w:r>
      <w:r w:rsidRPr="009F549F">
        <w:rPr>
          <w:rFonts w:eastAsia="Century Schoolbook"/>
        </w:rPr>
        <w:t xml:space="preserve"> mark-to-market income tax rate on investment assets in effect, but </w:t>
      </w:r>
      <w:proofErr w:type="spellStart"/>
      <w:r w:rsidRPr="009F549F">
        <w:rPr>
          <w:rFonts w:eastAsia="Century Schoolbook"/>
        </w:rPr>
        <w:t>Marff’s</w:t>
      </w:r>
      <w:proofErr w:type="spellEnd"/>
      <w:r w:rsidRPr="009F549F">
        <w:rPr>
          <w:rFonts w:eastAsia="Century Schoolbook"/>
        </w:rPr>
        <w:t xml:space="preserve"> stock is not publicly traded and qualifies for the ULTRA-withholding regime with Land’s retrospective proposal then applying upon final sale or disposition. </w:t>
      </w:r>
      <w:proofErr w:type="spellStart"/>
      <w:r w:rsidRPr="009F549F">
        <w:rPr>
          <w:rFonts w:eastAsia="Century Schoolbook"/>
        </w:rPr>
        <w:t>Marff</w:t>
      </w:r>
      <w:proofErr w:type="spellEnd"/>
      <w:r>
        <w:rPr>
          <w:rFonts w:ascii="Century Schoolbook" w:eastAsia="Century Schoolbook" w:hAnsi="Century Schoolbook" w:cs="Century Schoolbook"/>
        </w:rPr>
        <w:t xml:space="preserve"> </w:t>
      </w:r>
      <w:r w:rsidR="005A2AAC">
        <w:rPr>
          <w:rFonts w:ascii="Century Schoolbook" w:eastAsia="Century Schoolbook" w:hAnsi="Century Schoolbook" w:cs="Century Schoolbook"/>
        </w:rPr>
        <w:t>opts to</w:t>
      </w:r>
      <w:r w:rsidRPr="009F549F">
        <w:rPr>
          <w:rFonts w:eastAsia="Century Schoolbook"/>
        </w:rPr>
        <w:t xml:space="preserve"> hold the stock </w:t>
      </w:r>
      <w:r w:rsidR="00C90F0B">
        <w:rPr>
          <w:rFonts w:eastAsia="Century Schoolbook"/>
        </w:rPr>
        <w:t xml:space="preserve">subject to an </w:t>
      </w:r>
      <w:r w:rsidRPr="009F549F">
        <w:rPr>
          <w:rFonts w:eastAsia="Century Schoolbook"/>
        </w:rPr>
        <w:t>ULTRA throughout 2022 and 2023. He receives a dividend of $</w:t>
      </w:r>
      <w:r w:rsidRPr="00036097">
        <w:rPr>
          <w:rFonts w:eastAsia="Century Schoolbook"/>
        </w:rPr>
        <w:t>200</w:t>
      </w:r>
      <w:r w:rsidR="00733DD8" w:rsidRPr="00036097">
        <w:rPr>
          <w:rFonts w:eastAsia="Century Schoolbook"/>
        </w:rPr>
        <w:t xml:space="preserve"> million</w:t>
      </w:r>
      <w:r w:rsidRPr="009F549F">
        <w:rPr>
          <w:rFonts w:eastAsia="Century Schoolbook"/>
        </w:rPr>
        <w:t xml:space="preserve"> on </w:t>
      </w:r>
      <w:r w:rsidRPr="00036097">
        <w:rPr>
          <w:rFonts w:eastAsia="Century Schoolbook"/>
        </w:rPr>
        <w:t>Jan</w:t>
      </w:r>
      <w:r w:rsidR="00733DD8" w:rsidRPr="00036097">
        <w:rPr>
          <w:rFonts w:eastAsia="Century Schoolbook"/>
        </w:rPr>
        <w:t>uary</w:t>
      </w:r>
      <w:r w:rsidRPr="009F549F">
        <w:rPr>
          <w:rFonts w:eastAsia="Century Schoolbook"/>
        </w:rPr>
        <w:t xml:space="preserve"> 1</w:t>
      </w:r>
      <w:r w:rsidR="00733DD8" w:rsidRPr="00036097">
        <w:rPr>
          <w:rFonts w:eastAsia="Century Schoolbook"/>
        </w:rPr>
        <w:t>,</w:t>
      </w:r>
      <w:r w:rsidRPr="009F549F">
        <w:rPr>
          <w:rFonts w:eastAsia="Century Schoolbook"/>
        </w:rPr>
        <w:t xml:space="preserve"> 2023, and then sells the stock on January </w:t>
      </w:r>
      <w:r w:rsidRPr="00036097">
        <w:rPr>
          <w:rFonts w:eastAsia="Century Schoolbook"/>
        </w:rPr>
        <w:t>1</w:t>
      </w:r>
      <w:r w:rsidR="00733DD8" w:rsidRPr="00036097">
        <w:rPr>
          <w:rFonts w:eastAsia="Century Schoolbook"/>
        </w:rPr>
        <w:t>,</w:t>
      </w:r>
      <w:r w:rsidRPr="009F549F">
        <w:rPr>
          <w:rFonts w:eastAsia="Century Schoolbook"/>
        </w:rPr>
        <w:t xml:space="preserve"> 2024</w:t>
      </w:r>
      <w:r w:rsidR="00733DD8" w:rsidRPr="00036097">
        <w:rPr>
          <w:rFonts w:eastAsia="Century Schoolbook"/>
        </w:rPr>
        <w:t>,</w:t>
      </w:r>
      <w:r w:rsidRPr="009F549F">
        <w:rPr>
          <w:rFonts w:eastAsia="Century Schoolbook"/>
        </w:rPr>
        <w:t xml:space="preserve"> for $1.</w:t>
      </w:r>
      <w:r>
        <w:rPr>
          <w:rFonts w:ascii="Century Schoolbook" w:eastAsia="Century Schoolbook" w:hAnsi="Century Schoolbook" w:cs="Century Schoolbook"/>
        </w:rPr>
        <w:t>8B</w:t>
      </w:r>
      <w:r w:rsidR="005A2AAC">
        <w:rPr>
          <w:rFonts w:ascii="Century Schoolbook" w:eastAsia="Century Schoolbook" w:hAnsi="Century Schoolbook" w:cs="Century Schoolbook"/>
        </w:rPr>
        <w:t xml:space="preserve"> and so resolves the ULTRA</w:t>
      </w:r>
      <w:r>
        <w:rPr>
          <w:rFonts w:ascii="Century Schoolbook" w:eastAsia="Century Schoolbook" w:hAnsi="Century Schoolbook" w:cs="Century Schoolbook"/>
        </w:rPr>
        <w:t>.</w:t>
      </w:r>
      <w:r w:rsidR="00C90F0B" w:rsidRPr="00036097" w:rsidDel="00C90F0B">
        <w:rPr>
          <w:rFonts w:eastAsia="Century Schoolbook"/>
        </w:rPr>
        <w:t xml:space="preserve"> </w:t>
      </w:r>
      <w:r w:rsidRPr="009F549F">
        <w:rPr>
          <w:rFonts w:eastAsia="Century Schoolbook"/>
        </w:rPr>
        <w:t xml:space="preserve"> The presumptive rate of return is 5</w:t>
      </w:r>
      <w:r w:rsidR="00C90F0B">
        <w:rPr>
          <w:rFonts w:ascii="Century Schoolbook" w:eastAsia="Century Schoolbook" w:hAnsi="Century Schoolbook" w:cs="Century Schoolbook"/>
        </w:rPr>
        <w:t xml:space="preserve"> percent</w:t>
      </w:r>
      <w:r w:rsidR="00582549">
        <w:rPr>
          <w:rFonts w:ascii="Century Schoolbook" w:eastAsia="Century Schoolbook" w:hAnsi="Century Schoolbook" w:cs="Century Schoolbook"/>
        </w:rPr>
        <w:t xml:space="preserve"> in each year</w:t>
      </w:r>
      <w:r>
        <w:rPr>
          <w:rFonts w:ascii="Century Schoolbook" w:eastAsia="Century Schoolbook" w:hAnsi="Century Schoolbook" w:cs="Century Schoolbook"/>
        </w:rPr>
        <w:t>.</w:t>
      </w:r>
      <w:r w:rsidR="00733DD8" w:rsidRPr="00036097">
        <w:rPr>
          <w:rFonts w:eastAsia="Century Schoolbook"/>
        </w:rPr>
        <w:t xml:space="preserve"> </w:t>
      </w:r>
    </w:p>
    <w:p w14:paraId="0C0551B0" w14:textId="47AEBBE6" w:rsidR="007B1344" w:rsidRPr="009F549F" w:rsidRDefault="002347BA">
      <w:pPr>
        <w:spacing w:before="240" w:after="240"/>
        <w:ind w:left="720"/>
        <w:jc w:val="both"/>
        <w:rPr>
          <w:rFonts w:eastAsia="Century Schoolbook"/>
        </w:rPr>
      </w:pPr>
      <w:bookmarkStart w:id="151" w:name="_206ipza" w:colFirst="0" w:colLast="0"/>
      <w:bookmarkEnd w:id="151"/>
      <w:r w:rsidRPr="009F549F">
        <w:rPr>
          <w:rFonts w:eastAsia="Century Schoolbook"/>
          <w:b/>
        </w:rPr>
        <w:t>Results in 2022</w:t>
      </w:r>
      <w:r w:rsidRPr="009F549F">
        <w:rPr>
          <w:rFonts w:eastAsia="Century Schoolbook"/>
        </w:rPr>
        <w:t xml:space="preserve">: </w:t>
      </w:r>
      <w:proofErr w:type="spellStart"/>
      <w:r w:rsidRPr="009F549F">
        <w:rPr>
          <w:rFonts w:eastAsia="Century Schoolbook"/>
        </w:rPr>
        <w:t>Marff</w:t>
      </w:r>
      <w:proofErr w:type="spellEnd"/>
      <w:r w:rsidRPr="009F549F">
        <w:rPr>
          <w:rFonts w:eastAsia="Century Schoolbook"/>
        </w:rPr>
        <w:t xml:space="preserve"> grants the government an ULTRA equal to 1</w:t>
      </w:r>
      <w:r w:rsidR="00153000" w:rsidRPr="00036097">
        <w:rPr>
          <w:rFonts w:eastAsia="Century Schoolbook"/>
        </w:rPr>
        <w:t xml:space="preserve"> percent (20 percent </w:t>
      </w:r>
      <w:r w:rsidR="00515F71">
        <w:rPr>
          <w:rFonts w:eastAsia="Century Schoolbook"/>
        </w:rPr>
        <w:t>×</w:t>
      </w:r>
      <w:r w:rsidR="00153000" w:rsidRPr="00036097">
        <w:rPr>
          <w:rFonts w:eastAsia="Century Schoolbook"/>
        </w:rPr>
        <w:t xml:space="preserve"> 5 percent)</w:t>
      </w:r>
      <w:r w:rsidRPr="009F549F">
        <w:rPr>
          <w:rFonts w:eastAsia="Century Schoolbook"/>
        </w:rPr>
        <w:t>, attached to the stock assets at the end of 2022.</w:t>
      </w:r>
      <w:r w:rsidRPr="009F549F">
        <w:rPr>
          <w:rFonts w:eastAsia="Century Schoolbook"/>
          <w:vertAlign w:val="superscript"/>
        </w:rPr>
        <w:footnoteReference w:id="281"/>
      </w:r>
      <w:r w:rsidRPr="009F549F">
        <w:rPr>
          <w:rFonts w:eastAsia="Century Schoolbook"/>
        </w:rPr>
        <w:t xml:space="preserve"> If </w:t>
      </w:r>
      <w:proofErr w:type="spellStart"/>
      <w:r w:rsidRPr="009F549F">
        <w:rPr>
          <w:rFonts w:eastAsia="Century Schoolbook"/>
        </w:rPr>
        <w:t>Marff</w:t>
      </w:r>
      <w:proofErr w:type="spellEnd"/>
      <w:r w:rsidRPr="009F549F">
        <w:rPr>
          <w:rFonts w:eastAsia="Century Schoolbook"/>
        </w:rPr>
        <w:t xml:space="preserve"> does not qualify for relief from prepaying estimated taxes due to liquidity constraints or otherwise, then </w:t>
      </w:r>
      <w:proofErr w:type="spellStart"/>
      <w:r w:rsidRPr="009F549F">
        <w:rPr>
          <w:rFonts w:eastAsia="Century Schoolbook"/>
        </w:rPr>
        <w:t>Marff</w:t>
      </w:r>
      <w:proofErr w:type="spellEnd"/>
      <w:r w:rsidRPr="009F549F">
        <w:rPr>
          <w:rFonts w:eastAsia="Century Schoolbook"/>
        </w:rPr>
        <w:t xml:space="preserve"> should be required to make a withholding prepayment of 1</w:t>
      </w:r>
      <w:r w:rsidR="00153000" w:rsidRPr="00036097">
        <w:rPr>
          <w:rFonts w:eastAsia="Century Schoolbook"/>
        </w:rPr>
        <w:t xml:space="preserve"> percent</w:t>
      </w:r>
      <w:r w:rsidRPr="009F549F">
        <w:rPr>
          <w:rFonts w:eastAsia="Century Schoolbook"/>
        </w:rPr>
        <w:t xml:space="preserve"> of the estimated value of the assets, with that estimation made via a simplified approach for valuation. </w:t>
      </w:r>
      <w:r w:rsidRPr="009F549F">
        <w:rPr>
          <w:rFonts w:eastAsia="Century Schoolbook"/>
        </w:rPr>
        <w:lastRenderedPageBreak/>
        <w:t>Assuming that estimated value at the end of 2022 is $</w:t>
      </w:r>
      <w:r w:rsidRPr="00036097">
        <w:rPr>
          <w:rFonts w:eastAsia="Century Schoolbook"/>
        </w:rPr>
        <w:t>2</w:t>
      </w:r>
      <w:r w:rsidR="00153000" w:rsidRPr="00036097">
        <w:rPr>
          <w:rFonts w:eastAsia="Century Schoolbook"/>
        </w:rPr>
        <w:t xml:space="preserve"> billion</w:t>
      </w:r>
      <w:r w:rsidRPr="009F549F">
        <w:rPr>
          <w:rFonts w:eastAsia="Century Schoolbook"/>
        </w:rPr>
        <w:t xml:space="preserve">, </w:t>
      </w:r>
      <w:proofErr w:type="spellStart"/>
      <w:r w:rsidRPr="009F549F">
        <w:rPr>
          <w:rFonts w:eastAsia="Century Schoolbook"/>
        </w:rPr>
        <w:t>Marff</w:t>
      </w:r>
      <w:proofErr w:type="spellEnd"/>
      <w:r w:rsidRPr="009F549F">
        <w:rPr>
          <w:rFonts w:eastAsia="Century Schoolbook"/>
        </w:rPr>
        <w:t xml:space="preserve"> would then make prepayments of $</w:t>
      </w:r>
      <w:r w:rsidRPr="00036097">
        <w:rPr>
          <w:rFonts w:eastAsia="Century Schoolbook"/>
        </w:rPr>
        <w:t>20</w:t>
      </w:r>
      <w:r w:rsidR="00153000" w:rsidRPr="00036097">
        <w:rPr>
          <w:rFonts w:eastAsia="Century Schoolbook"/>
        </w:rPr>
        <w:t xml:space="preserve"> million</w:t>
      </w:r>
      <w:r w:rsidRPr="009F549F">
        <w:rPr>
          <w:rFonts w:eastAsia="Century Schoolbook"/>
        </w:rPr>
        <w:t xml:space="preserve"> (1</w:t>
      </w:r>
      <w:r w:rsidR="00153000" w:rsidRPr="00036097">
        <w:rPr>
          <w:rFonts w:eastAsia="Century Schoolbook"/>
        </w:rPr>
        <w:t xml:space="preserve"> percent</w:t>
      </w:r>
      <w:r w:rsidRPr="009F549F">
        <w:rPr>
          <w:rFonts w:eastAsia="Century Schoolbook"/>
        </w:rPr>
        <w:t xml:space="preserve"> of $</w:t>
      </w:r>
      <w:r w:rsidRPr="00036097">
        <w:rPr>
          <w:rFonts w:eastAsia="Century Schoolbook"/>
        </w:rPr>
        <w:t>2</w:t>
      </w:r>
      <w:r w:rsidR="00153000" w:rsidRPr="00036097">
        <w:rPr>
          <w:rFonts w:eastAsia="Century Schoolbook"/>
        </w:rPr>
        <w:t xml:space="preserve"> billion</w:t>
      </w:r>
      <w:r w:rsidRPr="009F549F">
        <w:rPr>
          <w:rFonts w:eastAsia="Century Schoolbook"/>
        </w:rPr>
        <w:t>).</w:t>
      </w:r>
    </w:p>
    <w:p w14:paraId="431B76E6" w14:textId="6077E406" w:rsidR="007B1344" w:rsidRPr="009F549F" w:rsidRDefault="002347BA">
      <w:pPr>
        <w:spacing w:before="240" w:after="240"/>
        <w:ind w:left="720"/>
        <w:jc w:val="both"/>
        <w:rPr>
          <w:rFonts w:eastAsia="Century Schoolbook"/>
        </w:rPr>
      </w:pPr>
      <w:r w:rsidRPr="009F549F">
        <w:rPr>
          <w:rFonts w:eastAsia="Century Schoolbook"/>
          <w:b/>
        </w:rPr>
        <w:t>Results in 2023</w:t>
      </w:r>
      <w:r w:rsidRPr="009F549F">
        <w:rPr>
          <w:rFonts w:eastAsia="Century Schoolbook"/>
        </w:rPr>
        <w:t xml:space="preserve">: When </w:t>
      </w:r>
      <w:proofErr w:type="spellStart"/>
      <w:r w:rsidRPr="009F549F">
        <w:rPr>
          <w:rFonts w:eastAsia="Century Schoolbook"/>
        </w:rPr>
        <w:t>Marff</w:t>
      </w:r>
      <w:proofErr w:type="spellEnd"/>
      <w:r w:rsidRPr="009F549F">
        <w:rPr>
          <w:rFonts w:eastAsia="Century Schoolbook"/>
        </w:rPr>
        <w:t xml:space="preserve"> receives the dividend, the </w:t>
      </w:r>
      <w:r w:rsidRPr="00036097">
        <w:rPr>
          <w:rFonts w:eastAsia="Century Schoolbook"/>
        </w:rPr>
        <w:t>government</w:t>
      </w:r>
      <w:r w:rsidR="005627EF">
        <w:rPr>
          <w:rFonts w:eastAsia="Century Schoolbook"/>
        </w:rPr>
        <w:t>’</w:t>
      </w:r>
      <w:r w:rsidRPr="00036097">
        <w:rPr>
          <w:rFonts w:eastAsia="Century Schoolbook"/>
        </w:rPr>
        <w:t>s</w:t>
      </w:r>
      <w:r w:rsidRPr="009F549F">
        <w:rPr>
          <w:rFonts w:eastAsia="Century Schoolbook"/>
        </w:rPr>
        <w:t xml:space="preserve"> notional share is 1</w:t>
      </w:r>
      <w:r w:rsidR="00153000" w:rsidRPr="00036097">
        <w:rPr>
          <w:rFonts w:eastAsia="Century Schoolbook"/>
        </w:rPr>
        <w:t xml:space="preserve"> percent</w:t>
      </w:r>
      <w:r w:rsidRPr="009F549F">
        <w:rPr>
          <w:rFonts w:eastAsia="Century Schoolbook"/>
        </w:rPr>
        <w:t xml:space="preserve">. Accordingly, </w:t>
      </w:r>
      <w:proofErr w:type="spellStart"/>
      <w:r w:rsidRPr="009F549F">
        <w:rPr>
          <w:rFonts w:eastAsia="Century Schoolbook"/>
        </w:rPr>
        <w:t>Marff</w:t>
      </w:r>
      <w:proofErr w:type="spellEnd"/>
      <w:r w:rsidRPr="009F549F">
        <w:rPr>
          <w:rFonts w:eastAsia="Century Schoolbook"/>
        </w:rPr>
        <w:t xml:space="preserve"> must make a prepayment of 1</w:t>
      </w:r>
      <w:r w:rsidR="00153000" w:rsidRPr="00036097">
        <w:rPr>
          <w:rFonts w:eastAsia="Century Schoolbook"/>
        </w:rPr>
        <w:t xml:space="preserve"> percent</w:t>
      </w:r>
      <w:r w:rsidRPr="009F549F">
        <w:rPr>
          <w:rFonts w:eastAsia="Century Schoolbook"/>
        </w:rPr>
        <w:t xml:space="preserve"> of $</w:t>
      </w:r>
      <w:r w:rsidRPr="00036097">
        <w:rPr>
          <w:rFonts w:eastAsia="Century Schoolbook"/>
        </w:rPr>
        <w:t>200</w:t>
      </w:r>
      <w:r w:rsidR="00153000" w:rsidRPr="00036097">
        <w:rPr>
          <w:rFonts w:eastAsia="Century Schoolbook"/>
        </w:rPr>
        <w:t xml:space="preserve"> million</w:t>
      </w:r>
      <w:r w:rsidRPr="009F549F">
        <w:rPr>
          <w:rFonts w:eastAsia="Century Schoolbook"/>
        </w:rPr>
        <w:t>, or $</w:t>
      </w:r>
      <w:r w:rsidRPr="00036097">
        <w:rPr>
          <w:rFonts w:eastAsia="Century Schoolbook"/>
        </w:rPr>
        <w:t>2</w:t>
      </w:r>
      <w:r w:rsidR="00153000" w:rsidRPr="00036097">
        <w:rPr>
          <w:rFonts w:eastAsia="Century Schoolbook"/>
        </w:rPr>
        <w:t xml:space="preserve"> million</w:t>
      </w:r>
      <w:r w:rsidRPr="009F549F">
        <w:rPr>
          <w:rFonts w:eastAsia="Century Schoolbook"/>
        </w:rPr>
        <w:t xml:space="preserve">, with his tax return for the 2023 tax year. At the end of 2023, the </w:t>
      </w:r>
      <w:r w:rsidRPr="00036097">
        <w:rPr>
          <w:rFonts w:eastAsia="Century Schoolbook"/>
        </w:rPr>
        <w:t>government</w:t>
      </w:r>
      <w:r w:rsidR="005627EF">
        <w:rPr>
          <w:rFonts w:eastAsia="Century Schoolbook"/>
        </w:rPr>
        <w:t>’</w:t>
      </w:r>
      <w:r w:rsidRPr="00036097">
        <w:rPr>
          <w:rFonts w:eastAsia="Century Schoolbook"/>
        </w:rPr>
        <w:t>s</w:t>
      </w:r>
      <w:r w:rsidRPr="009F549F">
        <w:rPr>
          <w:rFonts w:eastAsia="Century Schoolbook"/>
        </w:rPr>
        <w:t xml:space="preserve"> share increases again, rising by </w:t>
      </w:r>
      <w:r w:rsidR="005627EF">
        <w:rPr>
          <w:rFonts w:eastAsia="Century Schoolbook"/>
        </w:rPr>
        <w:t>0</w:t>
      </w:r>
      <w:r w:rsidR="00942829" w:rsidRPr="00036097">
        <w:rPr>
          <w:rFonts w:eastAsia="Century Schoolbook"/>
        </w:rPr>
        <w:t>.99 percent (</w:t>
      </w:r>
      <w:r w:rsidRPr="00036097">
        <w:rPr>
          <w:rFonts w:eastAsia="Century Schoolbook"/>
        </w:rPr>
        <w:t>(</w:t>
      </w:r>
      <w:r w:rsidRPr="009F549F">
        <w:rPr>
          <w:rFonts w:eastAsia="Century Schoolbook"/>
        </w:rPr>
        <w:t>20</w:t>
      </w:r>
      <w:r w:rsidR="00AF1726" w:rsidRPr="00036097">
        <w:rPr>
          <w:rFonts w:eastAsia="Century Schoolbook"/>
        </w:rPr>
        <w:t xml:space="preserve"> percent</w:t>
      </w:r>
      <w:r w:rsidRPr="00036097">
        <w:rPr>
          <w:rFonts w:eastAsia="Century Schoolbook"/>
        </w:rPr>
        <w:t xml:space="preserve"> </w:t>
      </w:r>
      <w:r w:rsidR="00515F71">
        <w:rPr>
          <w:rFonts w:eastAsia="Century Schoolbook"/>
        </w:rPr>
        <w:t>×</w:t>
      </w:r>
      <w:r w:rsidR="00AF1726" w:rsidRPr="009F549F">
        <w:rPr>
          <w:rFonts w:eastAsia="Century Schoolbook"/>
        </w:rPr>
        <w:t xml:space="preserve"> </w:t>
      </w:r>
      <w:r w:rsidRPr="009F549F">
        <w:rPr>
          <w:rFonts w:eastAsia="Century Schoolbook"/>
        </w:rPr>
        <w:t>5</w:t>
      </w:r>
      <w:r w:rsidR="00AF1726" w:rsidRPr="00036097">
        <w:rPr>
          <w:rFonts w:eastAsia="Century Schoolbook"/>
        </w:rPr>
        <w:t xml:space="preserve"> percent</w:t>
      </w:r>
      <w:r w:rsidRPr="00036097">
        <w:rPr>
          <w:rFonts w:eastAsia="Century Schoolbook"/>
        </w:rPr>
        <w:t xml:space="preserve">) </w:t>
      </w:r>
      <w:r w:rsidR="00515F71">
        <w:rPr>
          <w:rFonts w:eastAsia="Century Schoolbook"/>
        </w:rPr>
        <w:t>×</w:t>
      </w:r>
      <w:r w:rsidRPr="009F549F">
        <w:rPr>
          <w:rFonts w:eastAsia="Century Schoolbook"/>
        </w:rPr>
        <w:t xml:space="preserve"> (100</w:t>
      </w:r>
      <w:r w:rsidR="002B095F" w:rsidRPr="00036097">
        <w:rPr>
          <w:rFonts w:eastAsia="Century Schoolbook"/>
        </w:rPr>
        <w:t xml:space="preserve"> percent</w:t>
      </w:r>
      <w:r w:rsidRPr="00036097">
        <w:rPr>
          <w:rFonts w:eastAsia="Century Schoolbook"/>
        </w:rPr>
        <w:t xml:space="preserve"> </w:t>
      </w:r>
      <w:r w:rsidR="00515F71">
        <w:rPr>
          <w:rFonts w:eastAsia="Century Schoolbook"/>
        </w:rPr>
        <w:t>−</w:t>
      </w:r>
      <w:r w:rsidRPr="009F549F">
        <w:rPr>
          <w:rFonts w:eastAsia="Century Schoolbook"/>
        </w:rPr>
        <w:t xml:space="preserve"> 1</w:t>
      </w:r>
      <w:r w:rsidR="002B095F" w:rsidRPr="00036097">
        <w:rPr>
          <w:rFonts w:eastAsia="Century Schoolbook"/>
        </w:rPr>
        <w:t xml:space="preserve"> percent</w:t>
      </w:r>
      <w:r w:rsidRPr="00036097">
        <w:rPr>
          <w:rFonts w:eastAsia="Century Schoolbook"/>
        </w:rPr>
        <w:t>)</w:t>
      </w:r>
      <w:r w:rsidR="00942829" w:rsidRPr="00036097">
        <w:rPr>
          <w:rFonts w:eastAsia="Century Schoolbook"/>
        </w:rPr>
        <w:t>)</w:t>
      </w:r>
      <w:r w:rsidRPr="009F549F">
        <w:rPr>
          <w:rFonts w:eastAsia="Century Schoolbook"/>
        </w:rPr>
        <w:t>, for a new total of 1.99</w:t>
      </w:r>
      <w:r w:rsidR="00942829" w:rsidRPr="00036097">
        <w:rPr>
          <w:rFonts w:eastAsia="Century Schoolbook"/>
        </w:rPr>
        <w:t xml:space="preserve"> percent</w:t>
      </w:r>
      <w:r w:rsidRPr="009F549F">
        <w:rPr>
          <w:rFonts w:eastAsia="Century Schoolbook"/>
        </w:rPr>
        <w:t xml:space="preserve">. (If </w:t>
      </w:r>
      <w:proofErr w:type="spellStart"/>
      <w:r w:rsidRPr="009F549F">
        <w:rPr>
          <w:rFonts w:eastAsia="Century Schoolbook"/>
        </w:rPr>
        <w:t>Marff</w:t>
      </w:r>
      <w:proofErr w:type="spellEnd"/>
      <w:r w:rsidRPr="009F549F">
        <w:rPr>
          <w:rFonts w:eastAsia="Century Schoolbook"/>
        </w:rPr>
        <w:t xml:space="preserve"> continued to hold the stock, he should then make a withholding prepayment for 2023 of 1.99</w:t>
      </w:r>
      <w:r w:rsidR="00942829" w:rsidRPr="00036097">
        <w:rPr>
          <w:rFonts w:eastAsia="Century Schoolbook"/>
        </w:rPr>
        <w:t xml:space="preserve"> percent</w:t>
      </w:r>
      <w:r w:rsidRPr="009F549F">
        <w:rPr>
          <w:rFonts w:eastAsia="Century Schoolbook"/>
        </w:rPr>
        <w:t xml:space="preserve"> of the estimated value of the assets. However, we assume that he is relieved from this prepayment responsibility as a result of his selling all of the assets on January </w:t>
      </w:r>
      <w:r w:rsidRPr="00036097">
        <w:rPr>
          <w:rFonts w:eastAsia="Century Schoolbook"/>
        </w:rPr>
        <w:t>1</w:t>
      </w:r>
      <w:r w:rsidR="00942829" w:rsidRPr="00036097">
        <w:rPr>
          <w:rFonts w:eastAsia="Century Schoolbook"/>
        </w:rPr>
        <w:t>,</w:t>
      </w:r>
      <w:r w:rsidRPr="009F549F">
        <w:rPr>
          <w:rFonts w:eastAsia="Century Schoolbook"/>
        </w:rPr>
        <w:t xml:space="preserve"> 2024</w:t>
      </w:r>
      <w:r w:rsidR="00887A6C">
        <w:rPr>
          <w:rFonts w:eastAsia="Century Schoolbook"/>
        </w:rPr>
        <w:t>, before he files his tax return for 2023</w:t>
      </w:r>
      <w:r w:rsidRPr="009F549F">
        <w:rPr>
          <w:rFonts w:eastAsia="Century Schoolbook"/>
        </w:rPr>
        <w:t>.)</w:t>
      </w:r>
    </w:p>
    <w:p w14:paraId="0FAD301C" w14:textId="762C9331" w:rsidR="007B1344" w:rsidRPr="009F549F" w:rsidRDefault="002347BA">
      <w:pPr>
        <w:spacing w:before="240" w:after="240"/>
        <w:ind w:left="720"/>
        <w:jc w:val="both"/>
        <w:rPr>
          <w:rFonts w:eastAsia="Century Schoolbook"/>
        </w:rPr>
      </w:pPr>
      <w:r w:rsidRPr="009F549F">
        <w:rPr>
          <w:rFonts w:eastAsia="Century Schoolbook"/>
          <w:b/>
        </w:rPr>
        <w:t>Results in 2024</w:t>
      </w:r>
      <w:r w:rsidRPr="009F549F">
        <w:rPr>
          <w:rFonts w:eastAsia="Century Schoolbook"/>
        </w:rPr>
        <w:t xml:space="preserve">: Applying Land’s formula, </w:t>
      </w:r>
      <w:proofErr w:type="spellStart"/>
      <w:r w:rsidRPr="009F549F">
        <w:rPr>
          <w:rFonts w:eastAsia="Century Schoolbook"/>
        </w:rPr>
        <w:t>Marff’s</w:t>
      </w:r>
      <w:proofErr w:type="spellEnd"/>
      <w:r w:rsidRPr="009F549F">
        <w:rPr>
          <w:rFonts w:eastAsia="Century Schoolbook"/>
        </w:rPr>
        <w:t xml:space="preserve"> final tax assessment should be about $252.2 million.</w:t>
      </w:r>
      <w:r w:rsidRPr="009F549F">
        <w:rPr>
          <w:rFonts w:eastAsia="Century Schoolbook"/>
          <w:vertAlign w:val="superscript"/>
        </w:rPr>
        <w:footnoteReference w:id="282"/>
      </w:r>
      <w:r w:rsidRPr="009F549F">
        <w:rPr>
          <w:rFonts w:eastAsia="Century Schoolbook"/>
        </w:rPr>
        <w:t xml:space="preserve"> This reflects both the $200 million in tax he should have paid in 2022 under a full mark-to-market rule</w:t>
      </w:r>
      <w:r w:rsidR="00874F0A">
        <w:rPr>
          <w:rFonts w:eastAsia="Century Schoolbook"/>
        </w:rPr>
        <w:t xml:space="preserve"> and</w:t>
      </w:r>
      <w:r w:rsidRPr="009F549F">
        <w:rPr>
          <w:rFonts w:eastAsia="Century Schoolbook"/>
        </w:rPr>
        <w:t xml:space="preserve"> compound interest accumulating </w:t>
      </w:r>
      <w:r w:rsidR="005A2AAC">
        <w:rPr>
          <w:rFonts w:ascii="Century Schoolbook" w:eastAsia="Century Schoolbook" w:hAnsi="Century Schoolbook" w:cs="Century Schoolbook"/>
        </w:rPr>
        <w:t>during the holding period</w:t>
      </w:r>
      <w:r w:rsidRPr="009F549F">
        <w:rPr>
          <w:rFonts w:eastAsia="Century Schoolbook"/>
        </w:rPr>
        <w:t xml:space="preserve"> at the asset’s own (very high) rate of return. </w:t>
      </w:r>
      <w:proofErr w:type="spellStart"/>
      <w:r w:rsidRPr="009F549F">
        <w:rPr>
          <w:rFonts w:eastAsia="Century Schoolbook"/>
        </w:rPr>
        <w:t>Marff</w:t>
      </w:r>
      <w:proofErr w:type="spellEnd"/>
      <w:r w:rsidRPr="009F549F">
        <w:rPr>
          <w:rFonts w:eastAsia="Century Schoolbook"/>
        </w:rPr>
        <w:t xml:space="preserve"> also gets credit for the $</w:t>
      </w:r>
      <w:r w:rsidRPr="00036097">
        <w:rPr>
          <w:rFonts w:eastAsia="Century Schoolbook"/>
        </w:rPr>
        <w:t>22</w:t>
      </w:r>
      <w:r w:rsidR="00085306" w:rsidRPr="00036097">
        <w:rPr>
          <w:rFonts w:eastAsia="Century Schoolbook"/>
        </w:rPr>
        <w:t xml:space="preserve"> million</w:t>
      </w:r>
      <w:r w:rsidRPr="009F549F">
        <w:rPr>
          <w:rFonts w:eastAsia="Century Schoolbook"/>
        </w:rPr>
        <w:t xml:space="preserve"> in prepayments he made in 2022 and 2023, leaving him with a tax assessment of $230</w:t>
      </w:r>
      <w:r w:rsidR="00887A6C">
        <w:rPr>
          <w:rFonts w:eastAsia="Century Schoolbook"/>
        </w:rPr>
        <w:t>.2</w:t>
      </w:r>
      <w:r w:rsidRPr="009F549F">
        <w:rPr>
          <w:rFonts w:eastAsia="Century Schoolbook"/>
        </w:rPr>
        <w:t xml:space="preserve"> million left to pay.</w:t>
      </w:r>
      <w:r w:rsidR="00ED3C31" w:rsidRPr="009F549F" w:rsidDel="00ED3C31">
        <w:rPr>
          <w:rFonts w:eastAsia="Century Schoolbook"/>
          <w:vertAlign w:val="superscript"/>
        </w:rPr>
        <w:t xml:space="preserve"> </w:t>
      </w:r>
    </w:p>
    <w:p w14:paraId="021B562D" w14:textId="77777777" w:rsidR="007B1344" w:rsidRPr="009F549F" w:rsidRDefault="002347BA">
      <w:pPr>
        <w:pStyle w:val="Heading2"/>
        <w:rPr>
          <w:rFonts w:ascii="Times New Roman" w:hAnsi="Times New Roman"/>
          <w:i/>
          <w:sz w:val="24"/>
        </w:rPr>
      </w:pPr>
      <w:bookmarkStart w:id="152" w:name="_Toc115088945"/>
      <w:bookmarkStart w:id="153" w:name="_Toc120019841"/>
      <w:r w:rsidRPr="009F549F">
        <w:rPr>
          <w:rFonts w:ascii="Times New Roman" w:hAnsi="Times New Roman"/>
          <w:i/>
          <w:sz w:val="24"/>
        </w:rPr>
        <w:lastRenderedPageBreak/>
        <w:t>C.       Death and Gratuitous Transfers</w:t>
      </w:r>
      <w:bookmarkEnd w:id="152"/>
      <w:bookmarkEnd w:id="153"/>
    </w:p>
    <w:p w14:paraId="6DC5B212" w14:textId="6AB57854" w:rsidR="007B1344" w:rsidRPr="009F549F" w:rsidRDefault="002347BA">
      <w:pPr>
        <w:spacing w:before="240" w:after="240"/>
        <w:jc w:val="both"/>
        <w:rPr>
          <w:rFonts w:eastAsia="Century Schoolbook"/>
        </w:rPr>
      </w:pPr>
      <w:bookmarkStart w:id="154" w:name="_2zbgiuw" w:colFirst="0" w:colLast="0"/>
      <w:bookmarkEnd w:id="154"/>
      <w:r w:rsidRPr="009F549F">
        <w:rPr>
          <w:rFonts w:eastAsia="Century Schoolbook"/>
        </w:rPr>
        <w:tab/>
        <w:t>If policymakers opt not to adopt a wealth tax or choose to continue to tax transfers at death in addition to wealth, an ULTRA mechanism can also solve several problems of (or could replace in part) the estate and gift tax regime. By definition, a gratuitous transfer does not result in a market valuation of the transferred assets</w:t>
      </w:r>
      <w:r w:rsidR="00113170" w:rsidRPr="00036097">
        <w:rPr>
          <w:rFonts w:eastAsia="Century Schoolbook"/>
        </w:rPr>
        <w:t xml:space="preserve"> because </w:t>
      </w:r>
      <w:r w:rsidRPr="009F549F">
        <w:rPr>
          <w:rFonts w:eastAsia="Century Schoolbook"/>
        </w:rPr>
        <w:t>the recipient pays nothing (or pays an amount acknowledged to be less than the assets’ value).</w:t>
      </w:r>
      <w:r w:rsidRPr="009F549F">
        <w:rPr>
          <w:rFonts w:eastAsia="Century Schoolbook"/>
          <w:vertAlign w:val="superscript"/>
        </w:rPr>
        <w:footnoteReference w:id="283"/>
      </w:r>
      <w:r w:rsidRPr="009F549F">
        <w:rPr>
          <w:rFonts w:eastAsia="Century Schoolbook"/>
        </w:rPr>
        <w:t xml:space="preserve"> For estates that may plausibly exceed the exemption threshold (currently $</w:t>
      </w:r>
      <w:r w:rsidR="009065F0">
        <w:rPr>
          <w:rFonts w:eastAsia="Century Schoolbook"/>
        </w:rPr>
        <w:t>12</w:t>
      </w:r>
      <w:r w:rsidRPr="009F549F">
        <w:rPr>
          <w:rFonts w:eastAsia="Century Schoolbook"/>
        </w:rPr>
        <w:t xml:space="preserve"> million </w:t>
      </w:r>
      <w:r w:rsidR="009065F0">
        <w:rPr>
          <w:rFonts w:eastAsia="Century Schoolbook"/>
        </w:rPr>
        <w:t xml:space="preserve">per spouse </w:t>
      </w:r>
      <w:r w:rsidRPr="009F549F">
        <w:rPr>
          <w:rFonts w:eastAsia="Century Schoolbook"/>
        </w:rPr>
        <w:t>for U.S. married couples), that means an appraisal of every item.</w:t>
      </w:r>
      <w:r w:rsidRPr="009F549F">
        <w:rPr>
          <w:rFonts w:eastAsia="Century Schoolbook"/>
          <w:vertAlign w:val="superscript"/>
        </w:rPr>
        <w:footnoteReference w:id="284"/>
      </w:r>
      <w:r w:rsidRPr="009F549F">
        <w:rPr>
          <w:rFonts w:eastAsia="Century Schoolbook"/>
        </w:rPr>
        <w:t xml:space="preserve"> Thus, the estate tax has been the battlefield on which many of the </w:t>
      </w:r>
      <w:r w:rsidRPr="00036097">
        <w:rPr>
          <w:rFonts w:eastAsia="Century Schoolbook"/>
        </w:rPr>
        <w:t>IRS’</w:t>
      </w:r>
      <w:r w:rsidR="001271AB" w:rsidRPr="00036097">
        <w:rPr>
          <w:rFonts w:eastAsia="Century Schoolbook"/>
        </w:rPr>
        <w:t>s</w:t>
      </w:r>
      <w:r w:rsidRPr="009F549F">
        <w:rPr>
          <w:rFonts w:eastAsia="Century Schoolbook"/>
        </w:rPr>
        <w:t xml:space="preserve"> most notable valuation losses have occurred.</w:t>
      </w:r>
      <w:bookmarkStart w:id="155" w:name="_Ref115467713"/>
      <w:r w:rsidRPr="009F549F">
        <w:rPr>
          <w:rFonts w:eastAsia="Century Schoolbook"/>
          <w:vertAlign w:val="superscript"/>
        </w:rPr>
        <w:footnoteReference w:id="285"/>
      </w:r>
      <w:bookmarkEnd w:id="155"/>
      <w:r w:rsidRPr="009F549F">
        <w:rPr>
          <w:rFonts w:eastAsia="Century Schoolbook"/>
        </w:rPr>
        <w:t xml:space="preserve">  </w:t>
      </w:r>
    </w:p>
    <w:p w14:paraId="544D3F72" w14:textId="1AF1F38C" w:rsidR="007B1344" w:rsidRPr="009F549F" w:rsidRDefault="002347BA">
      <w:pPr>
        <w:spacing w:before="240" w:after="240"/>
        <w:jc w:val="both"/>
        <w:rPr>
          <w:rFonts w:eastAsia="Century Schoolbook"/>
        </w:rPr>
      </w:pPr>
      <w:r w:rsidRPr="009F549F">
        <w:rPr>
          <w:rFonts w:eastAsia="Century Schoolbook"/>
        </w:rPr>
        <w:tab/>
        <w:t xml:space="preserve">The ULTRA mechanism also makes it much more viable to impose income taxes at the time of a taxpayer’s death. Again, that might not matter much to the extent that policymakers might choose to replace the current realization-based income tax with a mark-to-market system. But, as </w:t>
      </w:r>
      <w:r w:rsidRPr="00036097">
        <w:rPr>
          <w:rFonts w:eastAsia="Century Schoolbook"/>
        </w:rPr>
        <w:t>we</w:t>
      </w:r>
      <w:r w:rsidR="002C13A9" w:rsidRPr="00036097">
        <w:rPr>
          <w:rFonts w:eastAsia="Century Schoolbook"/>
        </w:rPr>
        <w:t xml:space="preserve"> ha</w:t>
      </w:r>
      <w:r w:rsidRPr="00036097">
        <w:rPr>
          <w:rFonts w:eastAsia="Century Schoolbook"/>
        </w:rPr>
        <w:t>ve</w:t>
      </w:r>
      <w:r w:rsidRPr="009F549F">
        <w:rPr>
          <w:rFonts w:eastAsia="Century Schoolbook"/>
        </w:rPr>
        <w:t xml:space="preserve"> noted, the current U.S. combination of rules in which taxpayers pay no tax on appreciated property while holding that property during life and </w:t>
      </w:r>
      <w:r w:rsidR="00E314E8">
        <w:rPr>
          <w:rFonts w:eastAsia="Century Schoolbook"/>
        </w:rPr>
        <w:t>their</w:t>
      </w:r>
      <w:r w:rsidRPr="009F549F">
        <w:rPr>
          <w:rFonts w:eastAsia="Century Schoolbook"/>
        </w:rPr>
        <w:t xml:space="preserve"> heirs then </w:t>
      </w:r>
      <w:r w:rsidRPr="00036097">
        <w:rPr>
          <w:rFonts w:eastAsia="Century Schoolbook"/>
        </w:rPr>
        <w:t>receiv</w:t>
      </w:r>
      <w:r w:rsidR="00E314E8">
        <w:rPr>
          <w:rFonts w:eastAsia="Century Schoolbook"/>
        </w:rPr>
        <w:t>e</w:t>
      </w:r>
      <w:r w:rsidRPr="009F549F">
        <w:rPr>
          <w:rFonts w:eastAsia="Century Schoolbook"/>
        </w:rPr>
        <w:t xml:space="preserve"> that property with stepped</w:t>
      </w:r>
      <w:r w:rsidR="00E314E8">
        <w:rPr>
          <w:rFonts w:eastAsia="Century Schoolbook"/>
        </w:rPr>
        <w:t>-</w:t>
      </w:r>
      <w:r w:rsidRPr="009F549F">
        <w:rPr>
          <w:rFonts w:eastAsia="Century Schoolbook"/>
        </w:rPr>
        <w:t xml:space="preserve">up basis at the time of their inheritance powerfully distorts both taxpayer incentives and the distribution of wealth. Reforms short of full mark-to-market that simply treat death as a realization event could thus be major improvements over the status quo. </w:t>
      </w:r>
    </w:p>
    <w:p w14:paraId="3287E057" w14:textId="4F190166" w:rsidR="007B1344" w:rsidRPr="009F549F" w:rsidRDefault="002347BA">
      <w:pPr>
        <w:spacing w:before="240" w:after="240"/>
        <w:jc w:val="both"/>
        <w:rPr>
          <w:rFonts w:eastAsia="Century Schoolbook"/>
        </w:rPr>
      </w:pPr>
      <w:bookmarkStart w:id="156" w:name="_1egqt2p" w:colFirst="0" w:colLast="0"/>
      <w:bookmarkEnd w:id="156"/>
      <w:r w:rsidRPr="009F549F">
        <w:rPr>
          <w:rFonts w:eastAsia="Century Schoolbook"/>
        </w:rPr>
        <w:tab/>
        <w:t xml:space="preserve">ULTRA methods could also help with the administration of taxes triggered by gifts, which currently are part of the anti-abuse rules for the estate tax and which we would urge policymakers to expand if they made death a realization event. </w:t>
      </w:r>
      <w:r w:rsidRPr="009F549F">
        <w:rPr>
          <w:rFonts w:eastAsia="Century Schoolbook"/>
        </w:rPr>
        <w:lastRenderedPageBreak/>
        <w:t xml:space="preserve">Otherwise, it would often be easy for a wealthy individual to escape the estate </w:t>
      </w:r>
      <w:r w:rsidR="00887A6C">
        <w:rPr>
          <w:rFonts w:eastAsia="Century Schoolbook"/>
        </w:rPr>
        <w:t xml:space="preserve">or other death-triggered </w:t>
      </w:r>
      <w:r w:rsidRPr="009F549F">
        <w:rPr>
          <w:rFonts w:eastAsia="Century Schoolbook"/>
        </w:rPr>
        <w:t>tax simply by giving away all their assets on their deathbed.</w:t>
      </w:r>
      <w:bookmarkStart w:id="157" w:name="_Ref115691193"/>
      <w:r w:rsidRPr="009F549F">
        <w:rPr>
          <w:rFonts w:eastAsia="Century Schoolbook"/>
          <w:vertAlign w:val="superscript"/>
        </w:rPr>
        <w:footnoteReference w:id="286"/>
      </w:r>
      <w:bookmarkEnd w:id="157"/>
      <w:r w:rsidRPr="009F549F">
        <w:rPr>
          <w:rFonts w:eastAsia="Century Schoolbook"/>
        </w:rPr>
        <w:t xml:space="preserve"> Thus, the estate tax also imposes a tax on the transferor of large gratuitous transfers.</w:t>
      </w:r>
      <w:r w:rsidRPr="009F549F">
        <w:rPr>
          <w:rFonts w:eastAsia="Century Schoolbook"/>
          <w:vertAlign w:val="superscript"/>
        </w:rPr>
        <w:footnoteReference w:id="287"/>
      </w:r>
      <w:r w:rsidRPr="009F549F">
        <w:rPr>
          <w:rFonts w:eastAsia="Century Schoolbook"/>
        </w:rPr>
        <w:t xml:space="preserve"> </w:t>
      </w:r>
    </w:p>
    <w:p w14:paraId="21B640F9" w14:textId="300D3F8B" w:rsidR="007B1344" w:rsidRPr="009F549F" w:rsidRDefault="002347BA">
      <w:pPr>
        <w:spacing w:before="240" w:after="240"/>
        <w:jc w:val="both"/>
        <w:rPr>
          <w:rFonts w:eastAsia="Century Schoolbook"/>
        </w:rPr>
      </w:pPr>
      <w:bookmarkStart w:id="158" w:name="_3ygebqi" w:colFirst="0" w:colLast="0"/>
      <w:bookmarkEnd w:id="158"/>
      <w:r w:rsidRPr="009F549F">
        <w:rPr>
          <w:rFonts w:eastAsia="Century Schoolbook"/>
        </w:rPr>
        <w:tab/>
        <w:t xml:space="preserve">Most dramatically, the ULTRA mechanism could simply replace the entire gift tax regime. </w:t>
      </w:r>
      <w:r w:rsidR="009C195C">
        <w:rPr>
          <w:rFonts w:eastAsia="Century Schoolbook"/>
        </w:rPr>
        <w:t>T</w:t>
      </w:r>
      <w:r w:rsidRPr="009F549F">
        <w:rPr>
          <w:rFonts w:eastAsia="Century Schoolbook"/>
        </w:rPr>
        <w:t xml:space="preserve">axpayers have exploited the </w:t>
      </w:r>
      <w:r w:rsidR="009C195C">
        <w:rPr>
          <w:rFonts w:eastAsia="Century Schoolbook"/>
        </w:rPr>
        <w:t xml:space="preserve">current </w:t>
      </w:r>
      <w:r w:rsidRPr="009F549F">
        <w:rPr>
          <w:rFonts w:eastAsia="Century Schoolbook"/>
        </w:rPr>
        <w:t xml:space="preserve">gift tax rules in ways that allow </w:t>
      </w:r>
      <w:r w:rsidR="009C195C">
        <w:rPr>
          <w:rFonts w:eastAsia="Century Schoolbook"/>
        </w:rPr>
        <w:t xml:space="preserve">them </w:t>
      </w:r>
      <w:r w:rsidRPr="009F549F">
        <w:rPr>
          <w:rFonts w:eastAsia="Century Schoolbook"/>
        </w:rPr>
        <w:t>to minimize the total burden from the estate and gift regime.</w:t>
      </w:r>
      <w:bookmarkStart w:id="159" w:name="_Ref115691217"/>
      <w:r w:rsidRPr="009F549F">
        <w:rPr>
          <w:rFonts w:eastAsia="Century Schoolbook"/>
          <w:vertAlign w:val="superscript"/>
        </w:rPr>
        <w:footnoteReference w:id="288"/>
      </w:r>
      <w:bookmarkEnd w:id="159"/>
      <w:r w:rsidRPr="009F549F">
        <w:rPr>
          <w:rFonts w:eastAsia="Century Schoolbook"/>
        </w:rPr>
        <w:t xml:space="preserve"> Tax advisors often urge clients to adopt a “freeze” transaction in which the wealthy individual pays gift tax now to transfer assets out of their estate.</w:t>
      </w:r>
      <w:r w:rsidRPr="009F549F">
        <w:rPr>
          <w:rFonts w:eastAsia="Century Schoolbook"/>
          <w:vertAlign w:val="superscript"/>
        </w:rPr>
        <w:footnoteReference w:id="289"/>
      </w:r>
      <w:r w:rsidRPr="009F549F">
        <w:rPr>
          <w:rFonts w:eastAsia="Century Schoolbook"/>
        </w:rPr>
        <w:t xml:space="preserve"> That way, any subsequent growth in value between the time of the transfer and death goes untaxed. More simply, </w:t>
      </w:r>
      <w:r w:rsidRPr="00036097">
        <w:rPr>
          <w:rFonts w:eastAsia="Century Schoolbook"/>
        </w:rPr>
        <w:t>it</w:t>
      </w:r>
      <w:r w:rsidR="00F14AC6" w:rsidRPr="00036097">
        <w:rPr>
          <w:rFonts w:eastAsia="Century Schoolbook"/>
        </w:rPr>
        <w:t xml:space="preserve"> i</w:t>
      </w:r>
      <w:r w:rsidRPr="00036097">
        <w:rPr>
          <w:rFonts w:eastAsia="Century Schoolbook"/>
        </w:rPr>
        <w:t>s</w:t>
      </w:r>
      <w:r w:rsidRPr="009F549F">
        <w:rPr>
          <w:rFonts w:eastAsia="Century Schoolbook"/>
        </w:rPr>
        <w:t xml:space="preserve"> mathematically preferable to pay gift taxes rather than estate taxes because any gift taxes paid during life reduce the size of the taxable estate, whereas at death the size of the estate is calculated before any tax due on it.</w:t>
      </w:r>
      <w:r w:rsidRPr="009F549F">
        <w:rPr>
          <w:rFonts w:eastAsia="Century Schoolbook"/>
          <w:vertAlign w:val="superscript"/>
        </w:rPr>
        <w:footnoteReference w:id="290"/>
      </w:r>
      <w:r w:rsidRPr="009F549F">
        <w:rPr>
          <w:rFonts w:eastAsia="Century Schoolbook"/>
        </w:rPr>
        <w:t xml:space="preserve"> </w:t>
      </w:r>
    </w:p>
    <w:p w14:paraId="67E7625A" w14:textId="4B8C7D14" w:rsidR="007B1344" w:rsidRPr="009F549F" w:rsidRDefault="002347BA">
      <w:pPr>
        <w:spacing w:before="240" w:after="240"/>
        <w:ind w:firstLine="720"/>
        <w:jc w:val="both"/>
        <w:rPr>
          <w:rFonts w:eastAsia="Century Schoolbook"/>
        </w:rPr>
      </w:pPr>
      <w:bookmarkStart w:id="160" w:name="_2dlolyb" w:colFirst="0" w:colLast="0"/>
      <w:bookmarkEnd w:id="160"/>
      <w:r w:rsidRPr="009F549F">
        <w:rPr>
          <w:rFonts w:eastAsia="Century Schoolbook"/>
        </w:rPr>
        <w:t>We suggest instead that transferees receive gifted property subject to an ULTRA. The share of the asset’s value covered by the ULTRA would depend on the tax rate at the time of the transfer.</w:t>
      </w:r>
      <w:r w:rsidRPr="009F549F">
        <w:rPr>
          <w:rFonts w:eastAsia="Century Schoolbook"/>
          <w:vertAlign w:val="superscript"/>
        </w:rPr>
        <w:footnoteReference w:id="291"/>
      </w:r>
      <w:r w:rsidRPr="009F549F">
        <w:rPr>
          <w:rFonts w:eastAsia="Century Schoolbook"/>
        </w:rPr>
        <w:t xml:space="preserve"> As we described before, the death of the transferor could then trigger a take-it-or-leave-it system in which the transferee </w:t>
      </w:r>
      <w:r w:rsidR="009C195C">
        <w:rPr>
          <w:rFonts w:eastAsia="Century Schoolbook"/>
        </w:rPr>
        <w:t xml:space="preserve">either </w:t>
      </w:r>
      <w:r w:rsidRPr="009F549F">
        <w:rPr>
          <w:rFonts w:eastAsia="Century Schoolbook"/>
        </w:rPr>
        <w:t xml:space="preserve">accepts the </w:t>
      </w:r>
      <w:r w:rsidRPr="00036097">
        <w:rPr>
          <w:rFonts w:eastAsia="Century Schoolbook"/>
        </w:rPr>
        <w:t>government</w:t>
      </w:r>
      <w:r w:rsidR="009C195C">
        <w:rPr>
          <w:rFonts w:eastAsia="Century Schoolbook"/>
        </w:rPr>
        <w:t>’</w:t>
      </w:r>
      <w:r w:rsidRPr="00036097">
        <w:rPr>
          <w:rFonts w:eastAsia="Century Schoolbook"/>
        </w:rPr>
        <w:t>s</w:t>
      </w:r>
      <w:r w:rsidRPr="009F549F">
        <w:rPr>
          <w:rFonts w:eastAsia="Century Schoolbook"/>
        </w:rPr>
        <w:t xml:space="preserve"> valuation or else opts to continue the ULTRA. When the transferor dies or all the ULTRAs resolve, all assets still in the estate and all assets transferred during life and subject to ULTRAs would be added up to </w:t>
      </w:r>
      <w:r w:rsidRPr="009F549F">
        <w:rPr>
          <w:rFonts w:eastAsia="Century Schoolbook"/>
        </w:rPr>
        <w:lastRenderedPageBreak/>
        <w:t>determine whether the estate exceeds the $</w:t>
      </w:r>
      <w:r w:rsidRPr="00036097">
        <w:rPr>
          <w:rFonts w:eastAsia="Century Schoolbook"/>
        </w:rPr>
        <w:t>12</w:t>
      </w:r>
      <w:r w:rsidR="00F14AC6" w:rsidRPr="00036097">
        <w:rPr>
          <w:rFonts w:eastAsia="Century Schoolbook"/>
        </w:rPr>
        <w:t xml:space="preserve"> million</w:t>
      </w:r>
      <w:r w:rsidRPr="009F549F">
        <w:rPr>
          <w:rFonts w:eastAsia="Century Schoolbook"/>
        </w:rPr>
        <w:t xml:space="preserve"> exemption threshold.</w:t>
      </w:r>
      <w:r w:rsidRPr="009F549F">
        <w:rPr>
          <w:rFonts w:eastAsia="Century Schoolbook"/>
          <w:vertAlign w:val="superscript"/>
        </w:rPr>
        <w:footnoteReference w:id="292"/>
      </w:r>
      <w:r w:rsidRPr="009F549F">
        <w:rPr>
          <w:rFonts w:eastAsia="Century Schoolbook"/>
        </w:rPr>
        <w:t xml:space="preserve"> The exemption could be allocated chronologically, as under current law (i.e., gifts early in life use up the exemption before those passed at death), but also might be divided either pro rata among assets or according to the decedent’s wishes (as would currently be the case for individuals who leave fixed amounts to some heirs and a residual after-tax estate to others).</w:t>
      </w:r>
      <w:r w:rsidRPr="009F549F">
        <w:rPr>
          <w:rFonts w:eastAsia="Century Schoolbook"/>
          <w:vertAlign w:val="superscript"/>
        </w:rPr>
        <w:footnoteReference w:id="293"/>
      </w:r>
      <w:r w:rsidRPr="009F549F">
        <w:rPr>
          <w:rFonts w:eastAsia="Century Schoolbook"/>
        </w:rPr>
        <w:t xml:space="preserve">    </w:t>
      </w:r>
    </w:p>
    <w:p w14:paraId="32B504FE" w14:textId="6DD2564D" w:rsidR="007B1344" w:rsidRPr="009F549F" w:rsidRDefault="002347BA">
      <w:pPr>
        <w:spacing w:before="240" w:after="240"/>
        <w:ind w:firstLine="720"/>
        <w:jc w:val="both"/>
        <w:rPr>
          <w:rFonts w:eastAsia="Century Schoolbook"/>
        </w:rPr>
      </w:pPr>
      <w:r w:rsidRPr="009F549F">
        <w:rPr>
          <w:rFonts w:eastAsia="Century Schoolbook"/>
        </w:rPr>
        <w:t>Short of this dramatic change, ULTRAs could also play other roles in gratuitous transfers, such as providing an important anti-abuse option in the income tax system. Currently, the U.S. income tax exempts gifts from income, and giving a gift is not a realization event.</w:t>
      </w:r>
      <w:r w:rsidRPr="009F549F">
        <w:rPr>
          <w:rFonts w:eastAsia="Century Schoolbook"/>
          <w:vertAlign w:val="superscript"/>
        </w:rPr>
        <w:footnoteReference w:id="294"/>
      </w:r>
      <w:r w:rsidRPr="009F549F">
        <w:rPr>
          <w:rFonts w:eastAsia="Century Schoolbook"/>
        </w:rPr>
        <w:t xml:space="preserve"> If death were a realization event, </w:t>
      </w:r>
      <w:r w:rsidR="009065F0">
        <w:rPr>
          <w:rFonts w:eastAsia="Century Schoolbook"/>
        </w:rPr>
        <w:t xml:space="preserve">such as in the Billionaire Income Tax bill, </w:t>
      </w:r>
      <w:r w:rsidRPr="009F549F">
        <w:rPr>
          <w:rFonts w:eastAsia="Century Schoolbook"/>
        </w:rPr>
        <w:t>it would again be easy to escape that rule through deathbed transfers. Under current rules, a transfer during life would have some potential tax costs (the recipient is still liable for any untaxed gains in assets gifted during the life of the giver), but these costs can be eliminated through structured borrowing or indefinitely postponed via repeated intergenerational transfers and long-lived trusts.</w:t>
      </w:r>
      <w:r w:rsidRPr="009F549F">
        <w:rPr>
          <w:rFonts w:eastAsia="Century Schoolbook"/>
          <w:vertAlign w:val="superscript"/>
        </w:rPr>
        <w:footnoteReference w:id="295"/>
      </w:r>
      <w:r w:rsidRPr="009F549F">
        <w:rPr>
          <w:rFonts w:eastAsia="Century Schoolbook"/>
        </w:rPr>
        <w:t xml:space="preserve"> To solve this, either the receipt of gifts should be included in taxable income or the giving of the gift should be made a realization event for the </w:t>
      </w:r>
      <w:r w:rsidRPr="009F549F">
        <w:rPr>
          <w:rFonts w:eastAsia="Century Schoolbook"/>
        </w:rPr>
        <w:lastRenderedPageBreak/>
        <w:t>giver.</w:t>
      </w:r>
      <w:r w:rsidRPr="009F549F">
        <w:rPr>
          <w:rFonts w:eastAsia="Century Schoolbook"/>
          <w:vertAlign w:val="superscript"/>
        </w:rPr>
        <w:footnoteReference w:id="296"/>
      </w:r>
      <w:r w:rsidRPr="009F549F">
        <w:rPr>
          <w:rFonts w:eastAsia="Century Schoolbook"/>
        </w:rPr>
        <w:t xml:space="preserve"> However, the absence of market prices and the potential illiquidity of the parties have historically been barriers to treating gifts as realization </w:t>
      </w:r>
      <w:r w:rsidRPr="00036097">
        <w:rPr>
          <w:rFonts w:eastAsia="Century Schoolbook"/>
        </w:rPr>
        <w:t>event</w:t>
      </w:r>
      <w:r w:rsidR="0057405B">
        <w:rPr>
          <w:rFonts w:eastAsia="Century Schoolbook"/>
        </w:rPr>
        <w:t>s</w:t>
      </w:r>
      <w:r w:rsidRPr="009F549F">
        <w:rPr>
          <w:rFonts w:eastAsia="Century Schoolbook"/>
        </w:rPr>
        <w:t>.</w:t>
      </w:r>
      <w:r w:rsidRPr="009F549F">
        <w:rPr>
          <w:rFonts w:eastAsia="Century Schoolbook"/>
          <w:vertAlign w:val="superscript"/>
        </w:rPr>
        <w:footnoteReference w:id="297"/>
      </w:r>
      <w:r w:rsidRPr="009F549F">
        <w:rPr>
          <w:rFonts w:eastAsia="Century Schoolbook"/>
        </w:rPr>
        <w:t xml:space="preserve"> The ULTRA mechanism can resolve both of these concerns. </w:t>
      </w:r>
    </w:p>
    <w:p w14:paraId="658D4622" w14:textId="4254582B" w:rsidR="007B1344" w:rsidRPr="009F549F" w:rsidRDefault="002347BA">
      <w:pPr>
        <w:spacing w:before="240" w:after="240"/>
        <w:ind w:firstLine="720"/>
        <w:jc w:val="both"/>
        <w:rPr>
          <w:rFonts w:eastAsia="Century Schoolbook"/>
        </w:rPr>
      </w:pPr>
      <w:r w:rsidRPr="009F549F">
        <w:rPr>
          <w:rFonts w:eastAsia="Century Schoolbook"/>
        </w:rPr>
        <w:t xml:space="preserve">In addition, tax authorities </w:t>
      </w:r>
      <w:r w:rsidR="00913870">
        <w:rPr>
          <w:rFonts w:ascii="Century Schoolbook" w:eastAsia="Century Schoolbook" w:hAnsi="Century Schoolbook" w:cs="Century Schoolbook"/>
        </w:rPr>
        <w:t xml:space="preserve">could </w:t>
      </w:r>
      <w:r w:rsidRPr="009F549F">
        <w:rPr>
          <w:rFonts w:eastAsia="Century Schoolbook"/>
        </w:rPr>
        <w:t>use ULTRAs to shore up some other weak points of the estate tax system. Well-counseled wealthy taxpayers currently use a variety of arguably legal schemes to minimize their estate’s tax bill.</w:t>
      </w:r>
      <w:r w:rsidRPr="009F549F">
        <w:rPr>
          <w:rFonts w:eastAsia="Century Schoolbook"/>
          <w:vertAlign w:val="superscript"/>
        </w:rPr>
        <w:footnoteReference w:id="298"/>
      </w:r>
      <w:r w:rsidRPr="009F549F">
        <w:rPr>
          <w:rFonts w:eastAsia="Century Schoolbook"/>
        </w:rPr>
        <w:t xml:space="preserve"> We of course would prefer that </w:t>
      </w:r>
      <w:r w:rsidR="0041102A">
        <w:rPr>
          <w:rFonts w:ascii="Century Schoolbook" w:eastAsia="Century Schoolbook" w:hAnsi="Century Schoolbook" w:cs="Century Schoolbook"/>
        </w:rPr>
        <w:t xml:space="preserve">most or all of </w:t>
      </w:r>
      <w:r w:rsidRPr="009F549F">
        <w:rPr>
          <w:rFonts w:eastAsia="Century Schoolbook"/>
        </w:rPr>
        <w:t xml:space="preserve">these schemes simply be made illegal. Our argument here is that the existence of an ULTRA system for resolving valuation disputes </w:t>
      </w:r>
      <w:r w:rsidR="00F479FE">
        <w:rPr>
          <w:rFonts w:eastAsia="Century Schoolbook"/>
        </w:rPr>
        <w:t xml:space="preserve">would </w:t>
      </w:r>
      <w:r w:rsidRPr="009F549F">
        <w:rPr>
          <w:rFonts w:eastAsia="Century Schoolbook"/>
        </w:rPr>
        <w:t xml:space="preserve">undercut some of the legal and policy rationales that defenders of these schemes now rely on. </w:t>
      </w:r>
    </w:p>
    <w:p w14:paraId="77C87997" w14:textId="4E5D0415" w:rsidR="007B1344" w:rsidRPr="009F549F" w:rsidRDefault="002347BA">
      <w:pPr>
        <w:spacing w:before="240" w:after="240"/>
        <w:ind w:firstLine="720"/>
        <w:jc w:val="both"/>
        <w:rPr>
          <w:rFonts w:eastAsia="Century Schoolbook"/>
        </w:rPr>
      </w:pPr>
      <w:bookmarkStart w:id="161" w:name="_sqyw64" w:colFirst="0" w:colLast="0"/>
      <w:bookmarkEnd w:id="161"/>
      <w:r w:rsidRPr="009F549F">
        <w:rPr>
          <w:rFonts w:eastAsia="Century Schoolbook"/>
        </w:rPr>
        <w:t>Valuation discounts on privately</w:t>
      </w:r>
      <w:r w:rsidR="008A3C89" w:rsidRPr="00036097">
        <w:rPr>
          <w:rFonts w:eastAsia="Century Schoolbook"/>
        </w:rPr>
        <w:t xml:space="preserve"> </w:t>
      </w:r>
      <w:r w:rsidRPr="009F549F">
        <w:rPr>
          <w:rFonts w:eastAsia="Century Schoolbook"/>
        </w:rPr>
        <w:t>held businesses are among the biggest current estate-tax dodges.</w:t>
      </w:r>
      <w:r w:rsidRPr="009F549F">
        <w:rPr>
          <w:rFonts w:eastAsia="Century Schoolbook"/>
          <w:vertAlign w:val="superscript"/>
        </w:rPr>
        <w:footnoteReference w:id="299"/>
      </w:r>
      <w:r w:rsidRPr="009F549F">
        <w:rPr>
          <w:rFonts w:eastAsia="Century Schoolbook"/>
        </w:rPr>
        <w:t xml:space="preserve"> If available, an ULTRA could essentially end debate about these kinds of discounts. Each interest passed through the estate could be made subject to an ULTRA claim in the amount of the estate tax rate at the time of the inheritance (currently 40</w:t>
      </w:r>
      <w:r w:rsidR="00CA0AD3" w:rsidRPr="00036097">
        <w:rPr>
          <w:rFonts w:eastAsia="Century Schoolbook"/>
        </w:rPr>
        <w:t xml:space="preserve"> percent</w:t>
      </w:r>
      <w:r w:rsidRPr="009F549F">
        <w:rPr>
          <w:rFonts w:eastAsia="Century Schoolbook"/>
        </w:rPr>
        <w:t xml:space="preserve">). </w:t>
      </w:r>
    </w:p>
    <w:p w14:paraId="60ED7DA1" w14:textId="5E5DCA33" w:rsidR="007B1344" w:rsidRPr="009F549F" w:rsidRDefault="002347BA">
      <w:pPr>
        <w:spacing w:before="240" w:after="240"/>
        <w:ind w:firstLine="720"/>
        <w:jc w:val="both"/>
        <w:rPr>
          <w:rFonts w:eastAsia="Century Schoolbook"/>
        </w:rPr>
      </w:pPr>
      <w:r w:rsidRPr="009F549F">
        <w:rPr>
          <w:rFonts w:eastAsia="Century Schoolbook"/>
        </w:rPr>
        <w:t xml:space="preserve">Another technique where valuation uncertainty now plays a key role, and where an ULTRA would effectively close the loophole, </w:t>
      </w:r>
      <w:r w:rsidR="00F479FE">
        <w:rPr>
          <w:rFonts w:eastAsia="Century Schoolbook"/>
        </w:rPr>
        <w:t>is</w:t>
      </w:r>
      <w:r w:rsidRPr="009F549F">
        <w:rPr>
          <w:rFonts w:eastAsia="Century Schoolbook"/>
        </w:rPr>
        <w:t xml:space="preserve"> transfers to so-called </w:t>
      </w:r>
      <w:r w:rsidR="00633D97" w:rsidRPr="00036097">
        <w:rPr>
          <w:rFonts w:eastAsia="Century Schoolbook"/>
        </w:rPr>
        <w:t>grantor-retained annuity trusts (“</w:t>
      </w:r>
      <w:r w:rsidRPr="009F549F">
        <w:rPr>
          <w:rFonts w:eastAsia="Century Schoolbook"/>
        </w:rPr>
        <w:t>GRATs</w:t>
      </w:r>
      <w:r w:rsidR="00633D97" w:rsidRPr="00036097">
        <w:rPr>
          <w:rFonts w:eastAsia="Century Schoolbook"/>
        </w:rPr>
        <w:t>”)</w:t>
      </w:r>
      <w:r w:rsidRPr="00036097">
        <w:rPr>
          <w:rFonts w:eastAsia="Century Schoolbook"/>
        </w:rPr>
        <w:t>.</w:t>
      </w:r>
      <w:r w:rsidRPr="009F549F">
        <w:rPr>
          <w:rFonts w:eastAsia="Century Schoolbook"/>
          <w:vertAlign w:val="superscript"/>
        </w:rPr>
        <w:footnoteReference w:id="300"/>
      </w:r>
      <w:r w:rsidRPr="009F549F">
        <w:rPr>
          <w:rFonts w:eastAsia="Century Schoolbook"/>
        </w:rPr>
        <w:t xml:space="preserve"> Simplifying a bit, the wealthy taxpayer takes an asset </w:t>
      </w:r>
      <w:r w:rsidR="0057405B">
        <w:rPr>
          <w:rFonts w:eastAsia="Century Schoolbook"/>
        </w:rPr>
        <w:t>they</w:t>
      </w:r>
      <w:r w:rsidR="0057405B" w:rsidRPr="00036097">
        <w:rPr>
          <w:rFonts w:eastAsia="Century Schoolbook"/>
        </w:rPr>
        <w:t xml:space="preserve"> </w:t>
      </w:r>
      <w:r w:rsidRPr="009F549F">
        <w:rPr>
          <w:rFonts w:eastAsia="Century Schoolbook"/>
        </w:rPr>
        <w:t xml:space="preserve">expect to grow substantially in value and transfers it to a trust </w:t>
      </w:r>
      <w:r w:rsidR="0057405B">
        <w:rPr>
          <w:rFonts w:eastAsia="Century Schoolbook"/>
        </w:rPr>
        <w:t>they</w:t>
      </w:r>
      <w:r w:rsidR="0057405B" w:rsidRPr="00036097">
        <w:rPr>
          <w:rFonts w:eastAsia="Century Schoolbook"/>
        </w:rPr>
        <w:t xml:space="preserve"> </w:t>
      </w:r>
      <w:r w:rsidRPr="009F549F">
        <w:rPr>
          <w:rFonts w:eastAsia="Century Schoolbook"/>
        </w:rPr>
        <w:t xml:space="preserve">effectively control, receiving in exchange a promise of a future stream </w:t>
      </w:r>
      <w:r w:rsidRPr="009F549F">
        <w:rPr>
          <w:rFonts w:eastAsia="Century Schoolbook"/>
        </w:rPr>
        <w:lastRenderedPageBreak/>
        <w:t>of payments.</w:t>
      </w:r>
      <w:r w:rsidRPr="009F549F">
        <w:rPr>
          <w:rFonts w:eastAsia="Century Schoolbook"/>
          <w:vertAlign w:val="superscript"/>
        </w:rPr>
        <w:footnoteReference w:id="301"/>
      </w:r>
      <w:r w:rsidRPr="009F549F">
        <w:rPr>
          <w:rFonts w:eastAsia="Century Schoolbook"/>
        </w:rPr>
        <w:t xml:space="preserve"> As long as the trust’s payment is considered to be equal in value to the asset’s, the swap is not gratuitous and thus not taxable.</w:t>
      </w:r>
      <w:r w:rsidRPr="009F549F">
        <w:rPr>
          <w:rFonts w:eastAsia="Century Schoolbook"/>
          <w:vertAlign w:val="superscript"/>
        </w:rPr>
        <w:footnoteReference w:id="302"/>
      </w:r>
      <w:r w:rsidRPr="009F549F">
        <w:rPr>
          <w:rFonts w:eastAsia="Century Schoolbook"/>
        </w:rPr>
        <w:t xml:space="preserve"> Since the taxpayer effectively controls both sides of the swap, there is little reason to believe that equal value is actually exchanged, however, and that problem is compounded by some very generous presumptions in current IRS regulations.</w:t>
      </w:r>
      <w:r w:rsidRPr="009F549F">
        <w:rPr>
          <w:rFonts w:eastAsia="Century Schoolbook"/>
          <w:vertAlign w:val="superscript"/>
        </w:rPr>
        <w:footnoteReference w:id="303"/>
      </w:r>
      <w:r w:rsidRPr="009F549F">
        <w:rPr>
          <w:rFonts w:eastAsia="Century Schoolbook"/>
        </w:rPr>
        <w:t xml:space="preserve"> Instead, taxpayers who exchange assets with trusts they contributed to (or benefit from) should have to open a gift-tax ULTRA on the transferred asset, with the ultimate taxable amount reduced by the amount of cash received from the trust.</w:t>
      </w:r>
      <w:r w:rsidRPr="009F549F">
        <w:rPr>
          <w:rFonts w:eastAsia="Century Schoolbook"/>
          <w:vertAlign w:val="superscript"/>
        </w:rPr>
        <w:footnoteReference w:id="304"/>
      </w:r>
      <w:r w:rsidRPr="009F549F">
        <w:rPr>
          <w:rFonts w:eastAsia="Century Schoolbook"/>
        </w:rPr>
        <w:t xml:space="preserve"> </w:t>
      </w:r>
    </w:p>
    <w:p w14:paraId="11F9795C" w14:textId="77777777" w:rsidR="007B1344" w:rsidRPr="009F549F" w:rsidRDefault="002347BA">
      <w:pPr>
        <w:pStyle w:val="Heading2"/>
        <w:rPr>
          <w:rFonts w:ascii="Times New Roman" w:hAnsi="Times New Roman"/>
          <w:i/>
          <w:sz w:val="24"/>
        </w:rPr>
      </w:pPr>
      <w:bookmarkStart w:id="162" w:name="_Toc115088946"/>
      <w:bookmarkStart w:id="163" w:name="_Toc120019842"/>
      <w:r w:rsidRPr="009F549F">
        <w:rPr>
          <w:rFonts w:ascii="Times New Roman" w:hAnsi="Times New Roman"/>
          <w:i/>
          <w:sz w:val="24"/>
        </w:rPr>
        <w:t>D.       Property Tax Regimes</w:t>
      </w:r>
      <w:bookmarkEnd w:id="162"/>
      <w:bookmarkEnd w:id="163"/>
    </w:p>
    <w:p w14:paraId="2AB1792B" w14:textId="7FC4BA3F" w:rsidR="007B1344" w:rsidRPr="009F549F" w:rsidRDefault="002347BA">
      <w:pPr>
        <w:pBdr>
          <w:top w:val="nil"/>
          <w:left w:val="nil"/>
          <w:bottom w:val="nil"/>
          <w:right w:val="nil"/>
          <w:between w:val="nil"/>
        </w:pBdr>
        <w:spacing w:before="240" w:after="240"/>
        <w:ind w:firstLine="720"/>
        <w:jc w:val="both"/>
        <w:rPr>
          <w:rFonts w:eastAsia="Century Schoolbook"/>
        </w:rPr>
      </w:pPr>
      <w:bookmarkStart w:id="164" w:name="_1rvwp1q" w:colFirst="0" w:colLast="0"/>
      <w:bookmarkEnd w:id="164"/>
      <w:r w:rsidRPr="009F549F">
        <w:rPr>
          <w:rFonts w:eastAsia="Century Schoolbook"/>
        </w:rPr>
        <w:t>ULTRA</w:t>
      </w:r>
      <w:r w:rsidR="00C56449">
        <w:rPr>
          <w:rFonts w:eastAsia="Century Schoolbook"/>
        </w:rPr>
        <w:t>s</w:t>
      </w:r>
      <w:r w:rsidRPr="009F549F">
        <w:rPr>
          <w:rFonts w:eastAsia="Century Schoolbook"/>
        </w:rPr>
        <w:t xml:space="preserve"> can also aid in administration of the property tax. Providing an ULTRA option </w:t>
      </w:r>
      <w:r w:rsidR="006F032C">
        <w:rPr>
          <w:rFonts w:eastAsia="Century Schoolbook"/>
        </w:rPr>
        <w:t>for</w:t>
      </w:r>
      <w:r w:rsidRPr="009F549F">
        <w:rPr>
          <w:rFonts w:eastAsia="Century Schoolbook"/>
        </w:rPr>
        <w:t xml:space="preserve"> the payment of property taxes on residential property appears, at first, to just be a deferral option, similar to a few programs currently in existence (or proposed).</w:t>
      </w:r>
      <w:bookmarkStart w:id="165" w:name="_Ref115691175"/>
      <w:r w:rsidRPr="009F549F">
        <w:rPr>
          <w:rFonts w:eastAsia="Century Schoolbook"/>
          <w:vertAlign w:val="superscript"/>
        </w:rPr>
        <w:footnoteReference w:id="305"/>
      </w:r>
      <w:bookmarkEnd w:id="165"/>
      <w:r w:rsidRPr="009F549F">
        <w:rPr>
          <w:rFonts w:eastAsia="Century Schoolbook"/>
        </w:rPr>
        <w:t xml:space="preserve"> But an ULTRA can provide more than a solution for liquidity</w:t>
      </w:r>
      <w:r w:rsidR="006A5D3A" w:rsidRPr="00036097">
        <w:rPr>
          <w:rFonts w:eastAsia="Century Schoolbook"/>
        </w:rPr>
        <w:t>; i</w:t>
      </w:r>
      <w:r w:rsidRPr="009F549F">
        <w:rPr>
          <w:rFonts w:eastAsia="Century Schoolbook"/>
        </w:rPr>
        <w:t xml:space="preserve">t can provide a solution as to the underlying value of the asset. Thus, a homeowner and the local assessor need not dispute valuations in front of the local assessment appeals board but could instead mutually agree, or perhaps be required, to enter into </w:t>
      </w:r>
      <w:r w:rsidRPr="009F549F">
        <w:rPr>
          <w:rFonts w:eastAsia="Century Schoolbook"/>
        </w:rPr>
        <w:lastRenderedPageBreak/>
        <w:t>an ULTRA as to the disputed part of the valuation. There is evidence that the current appeal process does not lead to more accurate results.</w:t>
      </w:r>
      <w:r w:rsidRPr="009F549F">
        <w:rPr>
          <w:rFonts w:eastAsia="Century Schoolbook"/>
          <w:vertAlign w:val="superscript"/>
        </w:rPr>
        <w:footnoteReference w:id="306"/>
      </w:r>
      <w:r w:rsidRPr="009F549F">
        <w:rPr>
          <w:rFonts w:eastAsia="Century Schoolbook"/>
        </w:rPr>
        <w:t>.</w:t>
      </w:r>
    </w:p>
    <w:p w14:paraId="5025F5E7" w14:textId="3929F42E" w:rsidR="00166FE3" w:rsidRDefault="002347BA">
      <w:pPr>
        <w:pBdr>
          <w:top w:val="nil"/>
          <w:left w:val="nil"/>
          <w:bottom w:val="nil"/>
          <w:right w:val="nil"/>
          <w:between w:val="nil"/>
        </w:pBdr>
        <w:spacing w:before="240" w:after="240"/>
        <w:ind w:firstLine="720"/>
        <w:jc w:val="both"/>
        <w:rPr>
          <w:rFonts w:eastAsia="Century Schoolbook"/>
        </w:rPr>
      </w:pPr>
      <w:r w:rsidRPr="009F549F">
        <w:rPr>
          <w:rFonts w:eastAsia="Century Schoolbook"/>
        </w:rPr>
        <w:t>Note that in the residential context, the availability of an ULTRA requirement could have equalizing effects, as a significant body of research shows that it is wealthier and whiter homeowners who are more likely to successfully challenge their assessments, thereby shifting the property tax burden onto those with less wherewithal.</w:t>
      </w:r>
      <w:r w:rsidRPr="009F549F">
        <w:rPr>
          <w:rFonts w:eastAsia="Century Schoolbook"/>
          <w:vertAlign w:val="superscript"/>
        </w:rPr>
        <w:footnoteReference w:id="307"/>
      </w:r>
      <w:r w:rsidRPr="009F549F">
        <w:rPr>
          <w:rFonts w:eastAsia="Century Schoolbook"/>
        </w:rPr>
        <w:t xml:space="preserve"> Somewhat more speculatively, a better and more equitable solution could allow for further and more progressive reforms to property taxes because voters might feel less need to protect themselves with overprotective regimes like Proposition 13.</w:t>
      </w:r>
      <w:r w:rsidRPr="009F549F">
        <w:rPr>
          <w:rFonts w:eastAsia="Century Schoolbook"/>
          <w:vertAlign w:val="superscript"/>
        </w:rPr>
        <w:footnoteReference w:id="308"/>
      </w:r>
      <w:r w:rsidRPr="009F549F">
        <w:rPr>
          <w:rFonts w:eastAsia="Century Schoolbook"/>
        </w:rPr>
        <w:t xml:space="preserve"> </w:t>
      </w:r>
    </w:p>
    <w:p w14:paraId="758229AE" w14:textId="3BD88C4D" w:rsidR="007B1344" w:rsidRPr="009F549F" w:rsidRDefault="002347BA">
      <w:pPr>
        <w:pBdr>
          <w:top w:val="nil"/>
          <w:left w:val="nil"/>
          <w:bottom w:val="nil"/>
          <w:right w:val="nil"/>
          <w:between w:val="nil"/>
        </w:pBdr>
        <w:spacing w:before="240" w:after="240"/>
        <w:ind w:firstLine="720"/>
        <w:jc w:val="both"/>
        <w:rPr>
          <w:rFonts w:eastAsia="Century Schoolbook"/>
        </w:rPr>
      </w:pPr>
      <w:r w:rsidRPr="009F549F">
        <w:rPr>
          <w:rFonts w:eastAsia="Century Schoolbook"/>
        </w:rPr>
        <w:t>The availability of an ULTRA option or requirement is likely even more important in the commercial context</w:t>
      </w:r>
      <w:r w:rsidR="004053D3" w:rsidRPr="00036097">
        <w:rPr>
          <w:rFonts w:eastAsia="Century Schoolbook"/>
        </w:rPr>
        <w:t>.</w:t>
      </w:r>
      <w:r w:rsidRPr="009F549F">
        <w:rPr>
          <w:rFonts w:eastAsia="Century Schoolbook"/>
        </w:rPr>
        <w:t xml:space="preserve"> </w:t>
      </w:r>
      <w:r w:rsidR="004053D3" w:rsidRPr="00036097">
        <w:rPr>
          <w:rFonts w:eastAsia="Century Schoolbook"/>
        </w:rPr>
        <w:t>I</w:t>
      </w:r>
      <w:r w:rsidRPr="009F549F">
        <w:rPr>
          <w:rFonts w:eastAsia="Century Schoolbook"/>
        </w:rPr>
        <w:t>t is in that context that properties are most likely to engender expensive disputes because of their high value and, in many cases, unique characteristics</w:t>
      </w:r>
      <w:r w:rsidR="00AA1692">
        <w:rPr>
          <w:rFonts w:ascii="Century Schoolbook" w:eastAsia="Century Schoolbook" w:hAnsi="Century Schoolbook" w:cs="Century Schoolbook"/>
        </w:rPr>
        <w:t xml:space="preserve">. </w:t>
      </w:r>
      <w:r w:rsidRPr="009F549F">
        <w:rPr>
          <w:rFonts w:eastAsia="Century Schoolbook"/>
        </w:rPr>
        <w:t>Further, a straight deferral</w:t>
      </w:r>
      <w:r w:rsidR="00104E1A">
        <w:rPr>
          <w:rFonts w:eastAsia="Century Schoolbook"/>
        </w:rPr>
        <w:t xml:space="preserve">-until-sale </w:t>
      </w:r>
      <w:r w:rsidRPr="009F549F">
        <w:rPr>
          <w:rFonts w:eastAsia="Century Schoolbook"/>
        </w:rPr>
        <w:t>option might be less workable for some commercial properties if they are transferred as part of a larger transaction that might not yield a fair market value for the property. Yet, just as complicated market transactions can provide data for ULTRAs in a mark-to-</w:t>
      </w:r>
      <w:r w:rsidRPr="009F549F">
        <w:rPr>
          <w:rFonts w:eastAsia="Century Schoolbook"/>
        </w:rPr>
        <w:lastRenderedPageBreak/>
        <w:t>market or wealth tax context, they can also provide this data as to commercial property. Roughly, the government could be given a notional interest until there is a valuation event, with required prepayments. Thus, ULTRAs could both help resolve thorny valuation results and generally improve the administration of the property tax for hard</w:t>
      </w:r>
      <w:r w:rsidR="00874B97">
        <w:rPr>
          <w:rFonts w:eastAsia="Century Schoolbook"/>
        </w:rPr>
        <w:t>-</w:t>
      </w:r>
      <w:r w:rsidRPr="009F549F">
        <w:rPr>
          <w:rFonts w:eastAsia="Century Schoolbook"/>
        </w:rPr>
        <w:t>to</w:t>
      </w:r>
      <w:r w:rsidR="00874B97">
        <w:rPr>
          <w:rFonts w:eastAsia="Century Schoolbook"/>
        </w:rPr>
        <w:t>-</w:t>
      </w:r>
      <w:r w:rsidRPr="009F549F">
        <w:rPr>
          <w:rFonts w:eastAsia="Century Schoolbook"/>
        </w:rPr>
        <w:t>value properties.</w:t>
      </w:r>
    </w:p>
    <w:p w14:paraId="1D85E7DB" w14:textId="77777777" w:rsidR="007B1344" w:rsidRPr="009F549F" w:rsidRDefault="002347BA">
      <w:pPr>
        <w:pStyle w:val="Heading2"/>
        <w:rPr>
          <w:rFonts w:ascii="Times New Roman" w:hAnsi="Times New Roman"/>
          <w:i/>
          <w:sz w:val="24"/>
        </w:rPr>
      </w:pPr>
      <w:bookmarkStart w:id="166" w:name="_Ref119423551"/>
      <w:bookmarkStart w:id="167" w:name="_Toc115088947"/>
      <w:bookmarkStart w:id="168" w:name="_Toc120019843"/>
      <w:r w:rsidRPr="009F549F">
        <w:rPr>
          <w:rFonts w:ascii="Times New Roman" w:hAnsi="Times New Roman"/>
          <w:i/>
          <w:sz w:val="24"/>
        </w:rPr>
        <w:t>E.       Other Income Tax Reforms</w:t>
      </w:r>
      <w:bookmarkEnd w:id="166"/>
      <w:bookmarkEnd w:id="167"/>
      <w:bookmarkEnd w:id="168"/>
    </w:p>
    <w:p w14:paraId="351C88E9" w14:textId="52D28D3F" w:rsidR="007B1344" w:rsidRPr="009F549F" w:rsidRDefault="002347BA">
      <w:pPr>
        <w:spacing w:before="240" w:after="240"/>
        <w:jc w:val="both"/>
        <w:rPr>
          <w:rFonts w:eastAsia="Century Schoolbook"/>
        </w:rPr>
      </w:pPr>
      <w:r w:rsidRPr="009F549F">
        <w:rPr>
          <w:rFonts w:eastAsia="Century Schoolbook"/>
        </w:rPr>
        <w:tab/>
        <w:t xml:space="preserve">By now we suspect the reader has understood our central point: the ULTRA mechanism can be used virtually anywhere that tax valuation problems arise. In addition to the major structural reforms </w:t>
      </w:r>
      <w:r w:rsidRPr="00036097">
        <w:rPr>
          <w:rFonts w:eastAsia="Century Schoolbook"/>
        </w:rPr>
        <w:t>we</w:t>
      </w:r>
      <w:r w:rsidR="00BB409A" w:rsidRPr="00036097">
        <w:rPr>
          <w:rFonts w:eastAsia="Century Schoolbook"/>
        </w:rPr>
        <w:t xml:space="preserve"> ha</w:t>
      </w:r>
      <w:r w:rsidRPr="00036097">
        <w:rPr>
          <w:rFonts w:eastAsia="Century Schoolbook"/>
        </w:rPr>
        <w:t>ve</w:t>
      </w:r>
      <w:r w:rsidRPr="009F549F">
        <w:rPr>
          <w:rFonts w:eastAsia="Century Schoolbook"/>
        </w:rPr>
        <w:t xml:space="preserve"> described so far, ULTRAs could also be used in somewhat less ambitious, but still productive, reform projects. Here we sketch a few of what we see as the most significant places ULTRAs could improve the individual income tax, assuming that policymakers opt not to implement a mark-to-market system or other more transformative reforms</w:t>
      </w:r>
      <w:r w:rsidR="00AA1692">
        <w:rPr>
          <w:rFonts w:ascii="Century Schoolbook" w:eastAsia="Century Schoolbook" w:hAnsi="Century Schoolbook" w:cs="Century Schoolbook"/>
        </w:rPr>
        <w:t xml:space="preserve">. </w:t>
      </w:r>
    </w:p>
    <w:p w14:paraId="22BD3002" w14:textId="77777777" w:rsidR="007B1344" w:rsidRPr="009F549F" w:rsidRDefault="002347BA">
      <w:pPr>
        <w:pStyle w:val="Heading3"/>
        <w:numPr>
          <w:ilvl w:val="0"/>
          <w:numId w:val="2"/>
        </w:numPr>
        <w:rPr>
          <w:rFonts w:ascii="Times New Roman" w:hAnsi="Times New Roman"/>
          <w:i/>
          <w:sz w:val="24"/>
        </w:rPr>
      </w:pPr>
      <w:bookmarkStart w:id="169" w:name="_Toc115088948"/>
      <w:bookmarkStart w:id="170" w:name="_Toc120019844"/>
      <w:r w:rsidRPr="009F549F">
        <w:rPr>
          <w:rFonts w:ascii="Times New Roman" w:hAnsi="Times New Roman"/>
          <w:i/>
          <w:sz w:val="24"/>
        </w:rPr>
        <w:t>Carried Interest and Other Deferred Compensation</w:t>
      </w:r>
      <w:bookmarkEnd w:id="169"/>
      <w:bookmarkEnd w:id="170"/>
    </w:p>
    <w:p w14:paraId="4EE77CA4" w14:textId="051D08DA" w:rsidR="007B1344" w:rsidRPr="009F549F" w:rsidRDefault="002347BA">
      <w:pPr>
        <w:spacing w:before="240" w:after="240"/>
        <w:ind w:firstLine="720"/>
        <w:jc w:val="both"/>
        <w:rPr>
          <w:rFonts w:eastAsia="Century Schoolbook"/>
        </w:rPr>
      </w:pPr>
      <w:bookmarkStart w:id="171" w:name="_1664s55" w:colFirst="0" w:colLast="0"/>
      <w:bookmarkEnd w:id="171"/>
      <w:r w:rsidRPr="009F549F">
        <w:rPr>
          <w:rFonts w:eastAsia="Century Schoolbook"/>
        </w:rPr>
        <w:t>Although the carried interest</w:t>
      </w:r>
      <w:r w:rsidR="00C502C9">
        <w:rPr>
          <w:rFonts w:eastAsia="Century Schoolbook"/>
        </w:rPr>
        <w:t xml:space="preserve"> </w:t>
      </w:r>
      <w:r w:rsidR="00C502C9">
        <w:rPr>
          <w:rFonts w:ascii="Century Schoolbook" w:eastAsia="Century Schoolbook" w:hAnsi="Century Schoolbook" w:cs="Century Schoolbook"/>
        </w:rPr>
        <w:t>“</w:t>
      </w:r>
      <w:r w:rsidR="00521EDE" w:rsidRPr="00036097">
        <w:rPr>
          <w:rFonts w:eastAsia="Century Schoolbook"/>
        </w:rPr>
        <w:t>loophole</w:t>
      </w:r>
      <w:r w:rsidRPr="009F549F">
        <w:rPr>
          <w:rFonts w:eastAsia="Century Schoolbook"/>
        </w:rPr>
        <w:t xml:space="preserve">” has come as close to popular attention as any highly technical tax provision can, many readers may be unaware that </w:t>
      </w:r>
      <w:r w:rsidRPr="00036097">
        <w:rPr>
          <w:rFonts w:eastAsia="Century Schoolbook"/>
        </w:rPr>
        <w:t>it</w:t>
      </w:r>
      <w:r w:rsidR="00C854AE" w:rsidRPr="00036097">
        <w:rPr>
          <w:rFonts w:eastAsia="Century Schoolbook"/>
        </w:rPr>
        <w:t xml:space="preserve"> i</w:t>
      </w:r>
      <w:r w:rsidRPr="00036097">
        <w:rPr>
          <w:rFonts w:eastAsia="Century Schoolbook"/>
        </w:rPr>
        <w:t>s</w:t>
      </w:r>
      <w:r w:rsidRPr="009F549F">
        <w:rPr>
          <w:rFonts w:eastAsia="Century Schoolbook"/>
        </w:rPr>
        <w:t xml:space="preserve"> </w:t>
      </w:r>
      <w:r w:rsidR="00C502C9">
        <w:rPr>
          <w:rFonts w:eastAsia="Century Schoolbook"/>
        </w:rPr>
        <w:t>in essence</w:t>
      </w:r>
      <w:r w:rsidR="00C502C9" w:rsidRPr="009F549F">
        <w:rPr>
          <w:rFonts w:eastAsia="Century Schoolbook"/>
        </w:rPr>
        <w:t xml:space="preserve"> </w:t>
      </w:r>
      <w:r w:rsidRPr="009F549F">
        <w:rPr>
          <w:rFonts w:eastAsia="Century Schoolbook"/>
        </w:rPr>
        <w:t>a valuation problem.</w:t>
      </w:r>
      <w:r w:rsidRPr="009F549F">
        <w:rPr>
          <w:rFonts w:eastAsia="Century Schoolbook"/>
          <w:vertAlign w:val="superscript"/>
        </w:rPr>
        <w:footnoteReference w:id="309"/>
      </w:r>
      <w:r w:rsidRPr="009F549F">
        <w:rPr>
          <w:rFonts w:eastAsia="Century Schoolbook"/>
        </w:rPr>
        <w:t xml:space="preserve"> Private equity managers are typically paid in part with a share (often 20</w:t>
      </w:r>
      <w:r w:rsidR="00EA0501" w:rsidRPr="00036097">
        <w:rPr>
          <w:rFonts w:eastAsia="Century Schoolbook"/>
        </w:rPr>
        <w:t xml:space="preserve"> percent</w:t>
      </w:r>
      <w:r w:rsidRPr="009F549F">
        <w:rPr>
          <w:rFonts w:eastAsia="Century Schoolbook"/>
        </w:rPr>
        <w:t>) of the profits (or profits in excess of some “hurdle” amount, such as 8</w:t>
      </w:r>
      <w:r w:rsidR="00EA0501" w:rsidRPr="00036097">
        <w:rPr>
          <w:rFonts w:eastAsia="Century Schoolbook"/>
        </w:rPr>
        <w:t xml:space="preserve"> percent</w:t>
      </w:r>
      <w:r w:rsidRPr="009F549F">
        <w:rPr>
          <w:rFonts w:eastAsia="Century Schoolbook"/>
        </w:rPr>
        <w:t>) of the fund that they manage.</w:t>
      </w:r>
      <w:bookmarkStart w:id="172" w:name="_Ref115691109"/>
      <w:r w:rsidRPr="009F549F">
        <w:rPr>
          <w:rFonts w:eastAsia="Century Schoolbook"/>
          <w:vertAlign w:val="superscript"/>
        </w:rPr>
        <w:footnoteReference w:id="310"/>
      </w:r>
      <w:bookmarkEnd w:id="172"/>
      <w:r w:rsidRPr="009F549F">
        <w:rPr>
          <w:rFonts w:eastAsia="Century Schoolbook"/>
        </w:rPr>
        <w:t xml:space="preserve"> Under current rules, managers are not taxed when they perform the services but instead can defer tax until the fund realizes any gains in its investment portfolio, which is often as </w:t>
      </w:r>
      <w:r w:rsidR="00490701">
        <w:rPr>
          <w:rFonts w:eastAsia="Century Schoolbook"/>
        </w:rPr>
        <w:t>long</w:t>
      </w:r>
      <w:r w:rsidRPr="009F549F">
        <w:rPr>
          <w:rFonts w:eastAsia="Century Schoolbook"/>
        </w:rPr>
        <w:t xml:space="preserve"> as ten years after the manager chooses the investments.</w:t>
      </w:r>
      <w:r w:rsidRPr="009F549F">
        <w:rPr>
          <w:rFonts w:eastAsia="Century Schoolbook"/>
          <w:vertAlign w:val="superscript"/>
        </w:rPr>
        <w:footnoteReference w:id="311"/>
      </w:r>
      <w:r w:rsidRPr="009F549F">
        <w:rPr>
          <w:rFonts w:eastAsia="Century Schoolbook"/>
        </w:rPr>
        <w:t xml:space="preserve"> In addition, even though the initial award of the profits interest is plainly compensation for the </w:t>
      </w:r>
      <w:r w:rsidRPr="009F549F">
        <w:rPr>
          <w:rFonts w:eastAsia="Century Schoolbook"/>
        </w:rPr>
        <w:lastRenderedPageBreak/>
        <w:t>manager’s services, managers are able to treat the entire amount as capital gain, paying roughly half the rate they would otherwise face.</w:t>
      </w:r>
      <w:r w:rsidRPr="009F549F">
        <w:rPr>
          <w:rFonts w:eastAsia="Century Schoolbook"/>
          <w:vertAlign w:val="superscript"/>
        </w:rPr>
        <w:footnoteReference w:id="312"/>
      </w:r>
    </w:p>
    <w:p w14:paraId="21A57719" w14:textId="77777777" w:rsidR="007B1344" w:rsidRPr="009F549F" w:rsidRDefault="002347BA">
      <w:pPr>
        <w:spacing w:before="240" w:after="240"/>
        <w:ind w:firstLine="720"/>
        <w:jc w:val="both"/>
        <w:rPr>
          <w:rFonts w:eastAsia="Century Schoolbook"/>
        </w:rPr>
      </w:pPr>
      <w:bookmarkStart w:id="173" w:name="_3q5sasy" w:colFirst="0" w:colLast="0"/>
      <w:bookmarkEnd w:id="173"/>
      <w:r w:rsidRPr="009F549F">
        <w:rPr>
          <w:rFonts w:eastAsia="Century Schoolbook"/>
        </w:rPr>
        <w:t>This generous treatment results from a valuation dilemma. At the time the profits interest is awarded, its value may be relatively uncertain.</w:t>
      </w:r>
      <w:r w:rsidRPr="009F549F">
        <w:rPr>
          <w:rFonts w:eastAsia="Century Schoolbook"/>
          <w:vertAlign w:val="superscript"/>
        </w:rPr>
        <w:footnoteReference w:id="313"/>
      </w:r>
      <w:r w:rsidRPr="009F549F">
        <w:rPr>
          <w:rFonts w:eastAsia="Century Schoolbook"/>
        </w:rPr>
        <w:t xml:space="preserve"> The judicial decisions on which the IRS’s position draws all turn on the difficulty of measuring the value of partnership interests.</w:t>
      </w:r>
      <w:r w:rsidRPr="009F549F">
        <w:rPr>
          <w:rFonts w:eastAsia="Century Schoolbook"/>
          <w:vertAlign w:val="superscript"/>
        </w:rPr>
        <w:footnoteReference w:id="314"/>
      </w:r>
      <w:r w:rsidRPr="009F549F">
        <w:rPr>
          <w:rFonts w:eastAsia="Century Schoolbook"/>
        </w:rPr>
        <w:t xml:space="preserve">      </w:t>
      </w:r>
    </w:p>
    <w:p w14:paraId="63D6B38D" w14:textId="0CB43220" w:rsidR="007B1344" w:rsidRPr="009F549F" w:rsidRDefault="002347BA">
      <w:pPr>
        <w:spacing w:before="240" w:after="240"/>
        <w:ind w:firstLine="720"/>
        <w:jc w:val="both"/>
        <w:rPr>
          <w:rFonts w:eastAsia="Century Schoolbook"/>
        </w:rPr>
      </w:pPr>
      <w:r w:rsidRPr="009F549F">
        <w:rPr>
          <w:rFonts w:eastAsia="Century Schoolbook"/>
        </w:rPr>
        <w:t xml:space="preserve">Framed this way, </w:t>
      </w:r>
      <w:r w:rsidR="007C727E">
        <w:rPr>
          <w:rFonts w:ascii="Century Schoolbook" w:eastAsia="Century Schoolbook" w:hAnsi="Century Schoolbook" w:cs="Century Schoolbook"/>
        </w:rPr>
        <w:t>it's</w:t>
      </w:r>
      <w:r w:rsidRPr="009F549F">
        <w:rPr>
          <w:rFonts w:eastAsia="Century Schoolbook"/>
        </w:rPr>
        <w:t xml:space="preserve"> now obvious that ULTRAs could readily close the carried interest loophole. With an ULTRA available, the underlying judicial reluctance to tax compensatory awards of partnership interests should evaporate. The IRS could thus revise its legal position to require a service-providing partner to open an ULTRA, payable at the time the value of the partnership interest is realized, to measure the value of her compensation income. Since this ULTRA would in fact represent payment for services, the percentage amount it awards the government would depend on the PE manager’s ordinary income rate. To the extent that the private equity industry is departing from the optimal incentive contract in order to maximize its tax benefits,</w:t>
      </w:r>
      <w:r w:rsidRPr="009F549F">
        <w:rPr>
          <w:rFonts w:eastAsia="Century Schoolbook"/>
          <w:vertAlign w:val="superscript"/>
        </w:rPr>
        <w:footnoteReference w:id="315"/>
      </w:r>
      <w:r w:rsidRPr="009F549F">
        <w:rPr>
          <w:rFonts w:eastAsia="Century Schoolbook"/>
        </w:rPr>
        <w:t xml:space="preserve"> closing the loophole would make start-ups and hedge funds more efficient. Closing the loophole in this manner would also end the strange modern practice of allowing many of America’s highest earners to pay its lowest tax on labor earnings. </w:t>
      </w:r>
    </w:p>
    <w:p w14:paraId="3EB30E47" w14:textId="212F9478" w:rsidR="007B1344" w:rsidRPr="009F549F" w:rsidRDefault="002347BA">
      <w:pPr>
        <w:spacing w:before="240" w:after="240"/>
        <w:ind w:firstLine="720"/>
        <w:jc w:val="both"/>
        <w:rPr>
          <w:rFonts w:eastAsia="Century Schoolbook"/>
        </w:rPr>
      </w:pPr>
      <w:bookmarkStart w:id="174" w:name="_25b2l0r" w:colFirst="0" w:colLast="0"/>
      <w:bookmarkEnd w:id="174"/>
      <w:r w:rsidRPr="009F549F">
        <w:rPr>
          <w:rFonts w:eastAsia="Century Schoolbook"/>
        </w:rPr>
        <w:t xml:space="preserve">For similar reasons, </w:t>
      </w:r>
      <w:r w:rsidRPr="00036097">
        <w:rPr>
          <w:rFonts w:eastAsia="Century Schoolbook"/>
        </w:rPr>
        <w:t>we</w:t>
      </w:r>
      <w:r w:rsidR="00D61979" w:rsidRPr="00036097">
        <w:rPr>
          <w:rFonts w:eastAsia="Century Schoolbook"/>
        </w:rPr>
        <w:t xml:space="preserve"> woul</w:t>
      </w:r>
      <w:r w:rsidRPr="00036097">
        <w:rPr>
          <w:rFonts w:eastAsia="Century Schoolbook"/>
        </w:rPr>
        <w:t>d</w:t>
      </w:r>
      <w:r w:rsidRPr="009F549F">
        <w:rPr>
          <w:rFonts w:eastAsia="Century Schoolbook"/>
        </w:rPr>
        <w:t xml:space="preserve"> also extend this ULTRA treatment to most other forms of “nonqualified deferred compensation</w:t>
      </w:r>
      <w:r w:rsidR="00521EDE" w:rsidRPr="00036097">
        <w:rPr>
          <w:rFonts w:eastAsia="Century Schoolbook"/>
        </w:rPr>
        <w:t>.</w:t>
      </w:r>
      <w:bookmarkStart w:id="175" w:name="_Ref115691076"/>
      <w:r w:rsidR="00A61BBD" w:rsidRPr="00036097">
        <w:rPr>
          <w:rFonts w:eastAsia="Century Schoolbook"/>
        </w:rPr>
        <w:t>”</w:t>
      </w:r>
      <w:bookmarkStart w:id="176" w:name="_Ref119438912"/>
      <w:r w:rsidRPr="009F549F">
        <w:rPr>
          <w:rFonts w:eastAsia="Century Schoolbook"/>
          <w:vertAlign w:val="superscript"/>
        </w:rPr>
        <w:footnoteReference w:id="316"/>
      </w:r>
      <w:bookmarkEnd w:id="175"/>
      <w:bookmarkEnd w:id="176"/>
      <w:r w:rsidRPr="009F549F">
        <w:rPr>
          <w:rFonts w:eastAsia="Century Schoolbook"/>
        </w:rPr>
        <w:t xml:space="preserve"> Most workers have access to tax-favor</w:t>
      </w:r>
      <w:r w:rsidR="00A16788">
        <w:rPr>
          <w:rFonts w:eastAsia="Century Schoolbook"/>
        </w:rPr>
        <w:t>ed</w:t>
      </w:r>
      <w:r w:rsidRPr="009F549F">
        <w:rPr>
          <w:rFonts w:eastAsia="Century Schoolbook"/>
        </w:rPr>
        <w:t xml:space="preserve"> retirement savings through “qualified” plans, such as IRAs and </w:t>
      </w:r>
      <w:r w:rsidRPr="009F549F">
        <w:rPr>
          <w:rFonts w:eastAsia="Century Schoolbook"/>
        </w:rPr>
        <w:lastRenderedPageBreak/>
        <w:t>401(k)s, whose contribution limits are fairly strictly capped (albeit subject to an abusive loophole that Congress is working to close).</w:t>
      </w:r>
      <w:r w:rsidRPr="009F549F">
        <w:rPr>
          <w:rFonts w:eastAsia="Century Schoolbook"/>
          <w:vertAlign w:val="superscript"/>
        </w:rPr>
        <w:footnoteReference w:id="317"/>
      </w:r>
      <w:r w:rsidRPr="009F549F">
        <w:rPr>
          <w:rFonts w:eastAsia="Century Schoolbook"/>
        </w:rPr>
        <w:t xml:space="preserve"> In addition, many executives can take advantage of other rules that in effect allow unlimited and tax-favored retirement savings.</w:t>
      </w:r>
      <w:r w:rsidRPr="009F549F">
        <w:rPr>
          <w:rFonts w:eastAsia="Century Schoolbook"/>
          <w:vertAlign w:val="superscript"/>
        </w:rPr>
        <w:footnoteReference w:id="318"/>
      </w:r>
      <w:r w:rsidRPr="009F549F">
        <w:rPr>
          <w:rFonts w:eastAsia="Century Schoolbook"/>
        </w:rPr>
        <w:t xml:space="preserve"> An executive can perform services today but not pay tax on </w:t>
      </w:r>
      <w:r w:rsidR="009E014C">
        <w:rPr>
          <w:rFonts w:eastAsia="Century Schoolbook"/>
        </w:rPr>
        <w:t>their</w:t>
      </w:r>
      <w:r w:rsidR="009E014C" w:rsidRPr="00036097">
        <w:rPr>
          <w:rFonts w:eastAsia="Century Schoolbook"/>
        </w:rPr>
        <w:t xml:space="preserve"> </w:t>
      </w:r>
      <w:r w:rsidRPr="009F549F">
        <w:rPr>
          <w:rFonts w:eastAsia="Century Schoolbook"/>
        </w:rPr>
        <w:t xml:space="preserve">compensation until </w:t>
      </w:r>
      <w:r w:rsidR="009E014C">
        <w:rPr>
          <w:rFonts w:eastAsia="Century Schoolbook"/>
        </w:rPr>
        <w:t>they</w:t>
      </w:r>
      <w:r w:rsidR="009E014C" w:rsidRPr="009F549F">
        <w:rPr>
          <w:rFonts w:eastAsia="Century Schoolbook"/>
        </w:rPr>
        <w:t xml:space="preserve"> </w:t>
      </w:r>
      <w:r w:rsidRPr="009F549F">
        <w:rPr>
          <w:rFonts w:eastAsia="Century Schoolbook"/>
        </w:rPr>
        <w:t xml:space="preserve">withdraw it from </w:t>
      </w:r>
      <w:r w:rsidR="009E014C">
        <w:rPr>
          <w:rFonts w:eastAsia="Century Schoolbook"/>
        </w:rPr>
        <w:t>their</w:t>
      </w:r>
      <w:r w:rsidR="009E014C" w:rsidRPr="00036097">
        <w:rPr>
          <w:rFonts w:eastAsia="Century Schoolbook"/>
        </w:rPr>
        <w:t xml:space="preserve"> </w:t>
      </w:r>
      <w:r w:rsidRPr="009F549F">
        <w:rPr>
          <w:rFonts w:eastAsia="Century Schoolbook"/>
        </w:rPr>
        <w:t xml:space="preserve">pension account as long as the pension savings are within the reach of </w:t>
      </w:r>
      <w:r w:rsidR="009E014C">
        <w:rPr>
          <w:rFonts w:eastAsia="Century Schoolbook"/>
        </w:rPr>
        <w:t>their</w:t>
      </w:r>
      <w:r w:rsidR="009E014C" w:rsidRPr="00036097">
        <w:rPr>
          <w:rFonts w:eastAsia="Century Schoolbook"/>
        </w:rPr>
        <w:t xml:space="preserve"> </w:t>
      </w:r>
      <w:r w:rsidRPr="009F549F">
        <w:rPr>
          <w:rFonts w:eastAsia="Century Schoolbook"/>
        </w:rPr>
        <w:t>employer’s creditors (and certain other technicalities are observed).</w:t>
      </w:r>
      <w:r w:rsidRPr="009F549F">
        <w:rPr>
          <w:rFonts w:eastAsia="Century Schoolbook"/>
          <w:vertAlign w:val="superscript"/>
        </w:rPr>
        <w:footnoteReference w:id="319"/>
      </w:r>
      <w:r w:rsidRPr="009F549F">
        <w:rPr>
          <w:rFonts w:eastAsia="Century Schoolbook"/>
        </w:rPr>
        <w:t xml:space="preserve"> Over time, permissive IRS rulings and inattention have extended this generous treatment to some surprising other groups, including plaintiffs’ lawyers and freelance physicians.</w:t>
      </w:r>
      <w:bookmarkStart w:id="177" w:name="_Ref115445215"/>
      <w:r w:rsidRPr="009F549F">
        <w:rPr>
          <w:rFonts w:eastAsia="Century Schoolbook"/>
          <w:vertAlign w:val="superscript"/>
        </w:rPr>
        <w:footnoteReference w:id="320"/>
      </w:r>
      <w:bookmarkEnd w:id="177"/>
    </w:p>
    <w:p w14:paraId="76377C67" w14:textId="69A5E31D" w:rsidR="007B1344" w:rsidRPr="009F549F" w:rsidRDefault="002347BA">
      <w:pPr>
        <w:spacing w:before="240" w:after="240"/>
        <w:ind w:firstLine="720"/>
        <w:jc w:val="both"/>
        <w:rPr>
          <w:rFonts w:eastAsia="Century Schoolbook"/>
        </w:rPr>
      </w:pPr>
      <w:bookmarkStart w:id="178" w:name="_kgcv8k" w:colFirst="0" w:colLast="0"/>
      <w:bookmarkEnd w:id="178"/>
      <w:r w:rsidRPr="009F549F">
        <w:rPr>
          <w:rFonts w:eastAsia="Century Schoolbook"/>
        </w:rPr>
        <w:t xml:space="preserve">Again, it is valuation problems that have opened the door for these nonqualified pensions. Courts have reasoned that a payment today in exchange for a promise tomorrow should not be taxed today if we </w:t>
      </w:r>
      <w:r w:rsidRPr="00036097">
        <w:rPr>
          <w:rFonts w:eastAsia="Century Schoolbook"/>
        </w:rPr>
        <w:t>can</w:t>
      </w:r>
      <w:r w:rsidR="002810E5" w:rsidRPr="00036097">
        <w:rPr>
          <w:rFonts w:eastAsia="Century Schoolbook"/>
        </w:rPr>
        <w:t>no</w:t>
      </w:r>
      <w:r w:rsidRPr="00036097">
        <w:rPr>
          <w:rFonts w:eastAsia="Century Schoolbook"/>
        </w:rPr>
        <w:t>t</w:t>
      </w:r>
      <w:r w:rsidRPr="009F549F">
        <w:rPr>
          <w:rFonts w:eastAsia="Century Schoolbook"/>
        </w:rPr>
        <w:t xml:space="preserve"> be sure how much the </w:t>
      </w:r>
      <w:r w:rsidRPr="009F549F">
        <w:rPr>
          <w:rFonts w:eastAsia="Century Schoolbook"/>
        </w:rPr>
        <w:lastRenderedPageBreak/>
        <w:t>promise is really worth.</w:t>
      </w:r>
      <w:r w:rsidRPr="009F549F">
        <w:rPr>
          <w:rFonts w:eastAsia="Century Schoolbook"/>
          <w:vertAlign w:val="superscript"/>
        </w:rPr>
        <w:footnoteReference w:id="321"/>
      </w:r>
      <w:r w:rsidRPr="009F549F">
        <w:rPr>
          <w:rFonts w:eastAsia="Century Schoolbook"/>
        </w:rPr>
        <w:t xml:space="preserve"> As long as there is some risk that the promisor cannot keep its promise—for instance, because it might go bankrupt and other creditors have superior claims on its assets—we cannot be sure that the employee will actually receive the value </w:t>
      </w:r>
      <w:r w:rsidR="009E014C">
        <w:rPr>
          <w:rFonts w:eastAsia="Century Schoolbook"/>
        </w:rPr>
        <w:t>they</w:t>
      </w:r>
      <w:r w:rsidR="009E014C" w:rsidRPr="00036097">
        <w:rPr>
          <w:rFonts w:eastAsia="Century Schoolbook"/>
        </w:rPr>
        <w:t xml:space="preserve"> </w:t>
      </w:r>
      <w:r w:rsidR="004E76DB" w:rsidRPr="00036097">
        <w:rPr>
          <w:rFonts w:eastAsia="Century Schoolbook"/>
        </w:rPr>
        <w:t>h</w:t>
      </w:r>
      <w:r w:rsidR="009E014C">
        <w:rPr>
          <w:rFonts w:eastAsia="Century Schoolbook"/>
        </w:rPr>
        <w:t>ave</w:t>
      </w:r>
      <w:r w:rsidRPr="009F549F">
        <w:rPr>
          <w:rFonts w:eastAsia="Century Schoolbook"/>
        </w:rPr>
        <w:t xml:space="preserve"> been promised.</w:t>
      </w:r>
      <w:r w:rsidRPr="009F549F">
        <w:rPr>
          <w:rFonts w:eastAsia="Century Schoolbook"/>
          <w:vertAlign w:val="superscript"/>
        </w:rPr>
        <w:footnoteReference w:id="322"/>
      </w:r>
      <w:r w:rsidRPr="009F549F">
        <w:rPr>
          <w:rFonts w:eastAsia="Century Schoolbook"/>
        </w:rPr>
        <w:t xml:space="preserve"> But because it would be </w:t>
      </w:r>
      <w:proofErr w:type="spellStart"/>
      <w:r w:rsidRPr="009F549F">
        <w:rPr>
          <w:rFonts w:eastAsia="Century Schoolbook"/>
        </w:rPr>
        <w:t>unadministrable</w:t>
      </w:r>
      <w:proofErr w:type="spellEnd"/>
      <w:r w:rsidRPr="009F549F">
        <w:rPr>
          <w:rFonts w:eastAsia="Century Schoolbook"/>
        </w:rPr>
        <w:t>, in the IRS’s view, to make an individual assessment of the insolvency risk of every firm, we instead have a blanket rule that any theoretical exposure of the pension assets to bankruptcy often allows for deferral of the taxable income.</w:t>
      </w:r>
      <w:r w:rsidRPr="009F549F">
        <w:rPr>
          <w:rFonts w:eastAsia="Century Schoolbook"/>
          <w:vertAlign w:val="superscript"/>
        </w:rPr>
        <w:footnoteReference w:id="323"/>
      </w:r>
      <w:r w:rsidRPr="009F549F">
        <w:rPr>
          <w:rFonts w:eastAsia="Century Schoolbook"/>
        </w:rPr>
        <w:t xml:space="preserve"> </w:t>
      </w:r>
    </w:p>
    <w:p w14:paraId="49AC679D" w14:textId="6A134DBC" w:rsidR="007B1344" w:rsidRPr="009F549F" w:rsidRDefault="002347BA">
      <w:pPr>
        <w:spacing w:before="240" w:after="240"/>
        <w:ind w:firstLine="720"/>
        <w:jc w:val="both"/>
        <w:rPr>
          <w:rFonts w:eastAsia="Century Schoolbook"/>
        </w:rPr>
      </w:pPr>
      <w:r w:rsidRPr="009F549F">
        <w:rPr>
          <w:rFonts w:eastAsia="Century Schoolbook"/>
        </w:rPr>
        <w:t xml:space="preserve">ULTRAs are a ready solution. As with carried interest, we could simply require workers who receive deferred compensation to open an ULTRA once the </w:t>
      </w:r>
      <w:r w:rsidRPr="009F549F">
        <w:rPr>
          <w:rFonts w:eastAsia="Century Schoolbook"/>
        </w:rPr>
        <w:lastRenderedPageBreak/>
        <w:t>award “vests</w:t>
      </w:r>
      <w:r w:rsidRPr="00036097">
        <w:rPr>
          <w:rFonts w:eastAsia="Century Schoolbook"/>
        </w:rPr>
        <w:t>”</w:t>
      </w:r>
      <w:r w:rsidR="004E76DB" w:rsidRPr="00036097">
        <w:rPr>
          <w:rFonts w:eastAsia="Century Schoolbook"/>
        </w:rPr>
        <w:t>—</w:t>
      </w:r>
      <w:r w:rsidRPr="009F549F">
        <w:rPr>
          <w:rFonts w:eastAsia="Century Schoolbook"/>
        </w:rPr>
        <w:t>that is, as soon as time (and theoretical bankruptcy risk) are the only things standing between the executive and her money. The employer would receive a mirror-image ULTRA: a tax deduction of uncertain value. When the executive receives her deferred payment, the firm’s deduction would then trigger, in an amount equal to the firm’s marginal rate (determined at the time the compensation was earned) times the amount of the payment received by the employee. Workers would thus get no net benefit from deferral. Some firms might be slightly disadvantaged but probably would still be better off than under current practices in which their shareholders are unwittingly made to eat tax losses.</w:t>
      </w:r>
      <w:r w:rsidRPr="009F549F">
        <w:rPr>
          <w:rFonts w:eastAsia="Century Schoolbook"/>
          <w:vertAlign w:val="superscript"/>
        </w:rPr>
        <w:footnoteReference w:id="324"/>
      </w:r>
      <w:r w:rsidRPr="009F549F">
        <w:rPr>
          <w:rFonts w:eastAsia="Century Schoolbook"/>
        </w:rPr>
        <w:t xml:space="preserve">                                                  </w:t>
      </w:r>
    </w:p>
    <w:p w14:paraId="760FD6F6" w14:textId="57ACF705" w:rsidR="007B1344" w:rsidRPr="009F549F" w:rsidRDefault="002347BA">
      <w:pPr>
        <w:pStyle w:val="Heading3"/>
        <w:rPr>
          <w:rFonts w:ascii="Times New Roman" w:hAnsi="Times New Roman"/>
          <w:i/>
          <w:sz w:val="24"/>
        </w:rPr>
      </w:pPr>
      <w:bookmarkStart w:id="179" w:name="_Toc115088949"/>
      <w:bookmarkStart w:id="180" w:name="_Toc120019845"/>
      <w:r w:rsidRPr="009F549F">
        <w:rPr>
          <w:rFonts w:ascii="Times New Roman" w:hAnsi="Times New Roman"/>
          <w:i/>
          <w:sz w:val="24"/>
        </w:rPr>
        <w:t xml:space="preserve">2.      Installment </w:t>
      </w:r>
      <w:r w:rsidR="00FE72AD" w:rsidRPr="00036097">
        <w:rPr>
          <w:rFonts w:ascii="Times New Roman" w:hAnsi="Times New Roman" w:cs="Times New Roman"/>
          <w:i/>
          <w:sz w:val="24"/>
          <w:szCs w:val="24"/>
        </w:rPr>
        <w:t>S</w:t>
      </w:r>
      <w:r w:rsidRPr="00036097">
        <w:rPr>
          <w:rFonts w:ascii="Times New Roman" w:hAnsi="Times New Roman" w:cs="Times New Roman"/>
          <w:i/>
          <w:sz w:val="24"/>
          <w:szCs w:val="24"/>
        </w:rPr>
        <w:t xml:space="preserve">ales, </w:t>
      </w:r>
      <w:r w:rsidR="00FE72AD" w:rsidRPr="00036097">
        <w:rPr>
          <w:rFonts w:ascii="Times New Roman" w:hAnsi="Times New Roman" w:cs="Times New Roman"/>
          <w:i/>
          <w:sz w:val="24"/>
          <w:szCs w:val="24"/>
        </w:rPr>
        <w:t>E</w:t>
      </w:r>
      <w:r w:rsidRPr="009F549F">
        <w:rPr>
          <w:rFonts w:ascii="Times New Roman" w:hAnsi="Times New Roman"/>
          <w:i/>
          <w:sz w:val="24"/>
        </w:rPr>
        <w:t xml:space="preserve">arnouts, and </w:t>
      </w:r>
      <w:r w:rsidR="00FE72AD" w:rsidRPr="00036097">
        <w:rPr>
          <w:rFonts w:ascii="Times New Roman" w:hAnsi="Times New Roman" w:cs="Times New Roman"/>
          <w:i/>
          <w:sz w:val="24"/>
          <w:szCs w:val="24"/>
        </w:rPr>
        <w:t>O</w:t>
      </w:r>
      <w:r w:rsidRPr="00036097">
        <w:rPr>
          <w:rFonts w:ascii="Times New Roman" w:hAnsi="Times New Roman" w:cs="Times New Roman"/>
          <w:i/>
          <w:sz w:val="24"/>
          <w:szCs w:val="24"/>
        </w:rPr>
        <w:t xml:space="preserve">pen </w:t>
      </w:r>
      <w:r w:rsidR="00FE72AD" w:rsidRPr="00036097">
        <w:rPr>
          <w:rFonts w:ascii="Times New Roman" w:hAnsi="Times New Roman" w:cs="Times New Roman"/>
          <w:i/>
          <w:sz w:val="24"/>
          <w:szCs w:val="24"/>
        </w:rPr>
        <w:t>T</w:t>
      </w:r>
      <w:r w:rsidRPr="009F549F">
        <w:rPr>
          <w:rFonts w:ascii="Times New Roman" w:hAnsi="Times New Roman"/>
          <w:i/>
          <w:sz w:val="24"/>
        </w:rPr>
        <w:t>ransactions</w:t>
      </w:r>
      <w:bookmarkEnd w:id="179"/>
      <w:bookmarkEnd w:id="180"/>
    </w:p>
    <w:p w14:paraId="58B68EE8" w14:textId="77777777" w:rsidR="007B1344" w:rsidRPr="009F549F" w:rsidRDefault="002347BA">
      <w:pPr>
        <w:pBdr>
          <w:top w:val="nil"/>
          <w:left w:val="nil"/>
          <w:bottom w:val="nil"/>
          <w:right w:val="nil"/>
          <w:between w:val="nil"/>
        </w:pBdr>
        <w:spacing w:before="240" w:after="240"/>
        <w:ind w:firstLine="720"/>
        <w:jc w:val="both"/>
        <w:rPr>
          <w:rFonts w:eastAsia="Century Schoolbook"/>
        </w:rPr>
      </w:pPr>
      <w:r w:rsidRPr="009F549F">
        <w:rPr>
          <w:rFonts w:eastAsia="Century Schoolbook"/>
        </w:rPr>
        <w:t>As we mentioned earlier, the realization rule creates considerable legal complexity because it requires the tax system to determine the date on which a “sale” has occurred. But many commercial transactions are structured so that for a period of time the transacting parties share different portions of the “bundle of sticks” that makes up ownership. A common example is an “earnout,” where instead of a fixed sale price the buyer makes a series of payments whose total is contingent on some future event.</w:t>
      </w:r>
      <w:r w:rsidRPr="009F549F">
        <w:rPr>
          <w:rFonts w:eastAsia="Century Schoolbook"/>
          <w:vertAlign w:val="superscript"/>
        </w:rPr>
        <w:footnoteReference w:id="325"/>
      </w:r>
      <w:r w:rsidRPr="009F549F">
        <w:rPr>
          <w:rFonts w:eastAsia="Century Schoolbook"/>
        </w:rPr>
        <w:t xml:space="preserve"> </w:t>
      </w:r>
    </w:p>
    <w:p w14:paraId="6E9537B7" w14:textId="560CAA11" w:rsidR="007B1344" w:rsidRPr="009F549F" w:rsidRDefault="002347BA">
      <w:pPr>
        <w:pBdr>
          <w:top w:val="nil"/>
          <w:left w:val="nil"/>
          <w:bottom w:val="nil"/>
          <w:right w:val="nil"/>
          <w:between w:val="nil"/>
        </w:pBdr>
        <w:spacing w:before="240" w:after="240"/>
        <w:ind w:firstLine="720"/>
        <w:jc w:val="both"/>
        <w:rPr>
          <w:rFonts w:eastAsia="Century Schoolbook"/>
        </w:rPr>
      </w:pPr>
      <w:r w:rsidRPr="009F549F">
        <w:rPr>
          <w:rFonts w:eastAsia="Century Schoolbook"/>
        </w:rPr>
        <w:t xml:space="preserve">Earnouts are commonly used to facilitate sales at a time when the value of the underlying asset is uncertain or subject to agency costs. Take a simple case of </w:t>
      </w:r>
      <w:r w:rsidRPr="009F549F">
        <w:rPr>
          <w:rFonts w:eastAsia="Century Schoolbook"/>
        </w:rPr>
        <w:lastRenderedPageBreak/>
        <w:t>the acquisition of a gold mine when it is uncertain how much gold remains in the mine; with an earnout, the buyer pays more when they can mine more. A more modern example would involve the purchase of a start-up with a valuable but unproven technology.</w:t>
      </w:r>
      <w:r w:rsidRPr="009F549F">
        <w:rPr>
          <w:rFonts w:eastAsia="Century Schoolbook"/>
          <w:vertAlign w:val="superscript"/>
        </w:rPr>
        <w:footnoteReference w:id="326"/>
      </w:r>
      <w:r w:rsidRPr="009F549F">
        <w:rPr>
          <w:rFonts w:eastAsia="Century Schoolbook"/>
        </w:rPr>
        <w:t xml:space="preserve"> Earnouts are also useful when the seller can make costly but hard-to-observe investments to improve the value of the enterprise after its transfer (say, by encouraging existing customers to stay on); in effect the earnout gives the selling manager an ongoing equity stake in the business, ensuring </w:t>
      </w:r>
      <w:r w:rsidR="002F55C8">
        <w:rPr>
          <w:rFonts w:eastAsia="Century Schoolbook"/>
        </w:rPr>
        <w:t>they</w:t>
      </w:r>
      <w:r w:rsidR="002F55C8" w:rsidRPr="00036097">
        <w:rPr>
          <w:rFonts w:eastAsia="Century Schoolbook"/>
        </w:rPr>
        <w:t xml:space="preserve"> </w:t>
      </w:r>
      <w:r w:rsidR="002F55C8">
        <w:rPr>
          <w:rFonts w:eastAsia="Century Schoolbook"/>
        </w:rPr>
        <w:t>are</w:t>
      </w:r>
      <w:r w:rsidR="002F55C8" w:rsidRPr="009F549F">
        <w:rPr>
          <w:rFonts w:eastAsia="Century Schoolbook"/>
        </w:rPr>
        <w:t xml:space="preserve"> </w:t>
      </w:r>
      <w:r w:rsidRPr="009F549F">
        <w:rPr>
          <w:rFonts w:eastAsia="Century Schoolbook"/>
        </w:rPr>
        <w:t xml:space="preserve">incentivized to keep it successful after </w:t>
      </w:r>
      <w:r w:rsidR="002F55C8">
        <w:rPr>
          <w:rFonts w:eastAsia="Century Schoolbook"/>
        </w:rPr>
        <w:t>they</w:t>
      </w:r>
      <w:r w:rsidR="002F55C8" w:rsidRPr="00036097">
        <w:rPr>
          <w:rFonts w:eastAsia="Century Schoolbook"/>
        </w:rPr>
        <w:t xml:space="preserve"> </w:t>
      </w:r>
      <w:r w:rsidRPr="009F549F">
        <w:rPr>
          <w:rFonts w:eastAsia="Century Schoolbook"/>
        </w:rPr>
        <w:t>sell.</w:t>
      </w:r>
      <w:r w:rsidRPr="009F549F">
        <w:rPr>
          <w:rFonts w:eastAsia="Century Schoolbook"/>
          <w:vertAlign w:val="superscript"/>
        </w:rPr>
        <w:footnoteReference w:id="327"/>
      </w:r>
      <w:r w:rsidRPr="009F549F">
        <w:rPr>
          <w:rFonts w:eastAsia="Century Schoolbook"/>
        </w:rPr>
        <w:t xml:space="preserve"> </w:t>
      </w:r>
    </w:p>
    <w:p w14:paraId="6D8754B9" w14:textId="3EE5283E" w:rsidR="007B1344" w:rsidRPr="009F549F" w:rsidRDefault="002347BA">
      <w:pPr>
        <w:pBdr>
          <w:top w:val="nil"/>
          <w:left w:val="nil"/>
          <w:bottom w:val="nil"/>
          <w:right w:val="nil"/>
          <w:between w:val="nil"/>
        </w:pBdr>
        <w:spacing w:before="240" w:after="240"/>
        <w:ind w:firstLine="720"/>
        <w:jc w:val="both"/>
        <w:rPr>
          <w:rFonts w:eastAsia="Century Schoolbook"/>
        </w:rPr>
      </w:pPr>
      <w:r w:rsidRPr="009F549F">
        <w:rPr>
          <w:rFonts w:eastAsia="Century Schoolbook"/>
        </w:rPr>
        <w:t>Current approaches to earnout-type transactions may sometimes inefficiently discourage their use.</w:t>
      </w:r>
      <w:r w:rsidRPr="009F549F">
        <w:rPr>
          <w:rFonts w:eastAsia="Century Schoolbook"/>
          <w:vertAlign w:val="superscript"/>
        </w:rPr>
        <w:footnoteReference w:id="328"/>
      </w:r>
      <w:r w:rsidRPr="009F549F">
        <w:rPr>
          <w:rFonts w:eastAsia="Century Schoolbook"/>
        </w:rPr>
        <w:t xml:space="preserve"> By default, contingent pricing transactions use the installment sale method.</w:t>
      </w:r>
      <w:r w:rsidRPr="009F549F">
        <w:rPr>
          <w:rFonts w:eastAsia="Century Schoolbook"/>
          <w:vertAlign w:val="superscript"/>
        </w:rPr>
        <w:footnoteReference w:id="329"/>
      </w:r>
      <w:r w:rsidRPr="009F549F">
        <w:rPr>
          <w:rFonts w:eastAsia="Century Schoolbook"/>
        </w:rPr>
        <w:t xml:space="preserve"> Depending on </w:t>
      </w:r>
      <w:r w:rsidR="00495B1B" w:rsidRPr="00036097">
        <w:rPr>
          <w:rFonts w:eastAsia="Century Schoolbook"/>
        </w:rPr>
        <w:t xml:space="preserve">taxpayer elections and </w:t>
      </w:r>
      <w:r w:rsidRPr="009F549F">
        <w:rPr>
          <w:rFonts w:eastAsia="Century Schoolbook"/>
        </w:rPr>
        <w:t>how the transaction is structured, the installment method can often result in taxpayers paying tax on profits before those profits actually arrive.</w:t>
      </w:r>
      <w:r w:rsidRPr="009F549F">
        <w:rPr>
          <w:rFonts w:eastAsia="Century Schoolbook"/>
          <w:vertAlign w:val="superscript"/>
        </w:rPr>
        <w:footnoteReference w:id="330"/>
      </w:r>
      <w:r w:rsidRPr="009F549F">
        <w:rPr>
          <w:rFonts w:eastAsia="Century Schoolbook"/>
        </w:rPr>
        <w:t xml:space="preserve"> </w:t>
      </w:r>
    </w:p>
    <w:p w14:paraId="7BCA371D" w14:textId="78459E33" w:rsidR="007B1344" w:rsidRPr="009F549F" w:rsidRDefault="002347BA">
      <w:pPr>
        <w:spacing w:before="240" w:after="240"/>
        <w:ind w:firstLine="720"/>
        <w:jc w:val="both"/>
        <w:rPr>
          <w:rFonts w:eastAsia="Century Schoolbook"/>
        </w:rPr>
      </w:pPr>
      <w:r w:rsidRPr="009F549F">
        <w:rPr>
          <w:rFonts w:eastAsia="Century Schoolbook"/>
        </w:rPr>
        <w:lastRenderedPageBreak/>
        <w:t>At the same time, these kinds of contingent arrangements can also be used as a tax planning tool. In some instances, taxpayers may be able to get most of their money out of an investment while deferring paying tax on the gains.</w:t>
      </w:r>
      <w:r w:rsidRPr="009F549F">
        <w:rPr>
          <w:rFonts w:eastAsia="Century Schoolbook"/>
          <w:vertAlign w:val="superscript"/>
        </w:rPr>
        <w:footnoteReference w:id="331"/>
      </w:r>
      <w:r w:rsidRPr="009F549F">
        <w:rPr>
          <w:rFonts w:eastAsia="Century Schoolbook"/>
        </w:rPr>
        <w:t xml:space="preserve"> For example, if a taxpayer is eligible to opt out of the installment method, they can rely on an appraisal,</w:t>
      </w:r>
      <w:r w:rsidRPr="009F549F">
        <w:rPr>
          <w:rFonts w:eastAsia="Century Schoolbook"/>
          <w:vertAlign w:val="superscript"/>
        </w:rPr>
        <w:footnoteReference w:id="332"/>
      </w:r>
      <w:r w:rsidRPr="009F549F">
        <w:rPr>
          <w:rFonts w:eastAsia="Century Schoolbook"/>
        </w:rPr>
        <w:t xml:space="preserve"> where they often will obtain favorable results. Other financial instruments, such as swaps and options, present similar issues.</w:t>
      </w:r>
      <w:r w:rsidRPr="009F549F">
        <w:rPr>
          <w:rFonts w:eastAsia="Century Schoolbook"/>
          <w:vertAlign w:val="superscript"/>
        </w:rPr>
        <w:footnoteReference w:id="333"/>
      </w:r>
    </w:p>
    <w:p w14:paraId="17B141C2" w14:textId="35305DA2" w:rsidR="007B1344" w:rsidRPr="009F549F" w:rsidRDefault="002347BA">
      <w:pPr>
        <w:pBdr>
          <w:top w:val="nil"/>
          <w:left w:val="nil"/>
          <w:bottom w:val="nil"/>
          <w:right w:val="nil"/>
          <w:between w:val="nil"/>
        </w:pBdr>
        <w:spacing w:before="240" w:after="240"/>
        <w:ind w:firstLine="720"/>
        <w:jc w:val="both"/>
        <w:rPr>
          <w:rFonts w:eastAsia="Century Schoolbook"/>
        </w:rPr>
      </w:pPr>
      <w:r w:rsidRPr="009F549F">
        <w:rPr>
          <w:rFonts w:eastAsia="Century Schoolbook"/>
        </w:rPr>
        <w:t xml:space="preserve">We think that ULTRAs provide a better solution at least as an option and likely as the default option. As in the wealth tax context, a taxpayer owes a known rate of tax on a not yet known base. Thus, the government could </w:t>
      </w:r>
      <w:r w:rsidR="00215CDB">
        <w:rPr>
          <w:rFonts w:eastAsia="Century Schoolbook"/>
        </w:rPr>
        <w:t>collect an ULTRA at the time of sale, with the seller's ultimate tax bill to be resolved when the final sale price is settled (and with an economically-accurate rate of interest added)</w:t>
      </w:r>
      <w:r w:rsidRPr="009F549F">
        <w:rPr>
          <w:rFonts w:eastAsia="Century Schoolbook"/>
        </w:rPr>
        <w:t>.</w:t>
      </w:r>
      <w:r w:rsidRPr="009F549F">
        <w:rPr>
          <w:rFonts w:eastAsia="Century Schoolbook"/>
          <w:vertAlign w:val="superscript"/>
        </w:rPr>
        <w:footnoteReference w:id="334"/>
      </w:r>
      <w:r w:rsidRPr="009F549F">
        <w:rPr>
          <w:rFonts w:eastAsia="Century Schoolbook"/>
        </w:rPr>
        <w:t xml:space="preserve">  </w:t>
      </w:r>
    </w:p>
    <w:p w14:paraId="06346A73" w14:textId="3473BDFD" w:rsidR="007B1344" w:rsidRPr="009F549F" w:rsidRDefault="002347BA">
      <w:pPr>
        <w:pStyle w:val="Heading3"/>
        <w:rPr>
          <w:rFonts w:ascii="Times New Roman" w:hAnsi="Times New Roman"/>
          <w:i/>
          <w:sz w:val="24"/>
        </w:rPr>
      </w:pPr>
      <w:bookmarkStart w:id="181" w:name="_Toc115088950"/>
      <w:bookmarkStart w:id="182" w:name="_Toc120019846"/>
      <w:r w:rsidRPr="009F549F">
        <w:rPr>
          <w:rFonts w:ascii="Times New Roman" w:hAnsi="Times New Roman"/>
          <w:i/>
          <w:sz w:val="24"/>
        </w:rPr>
        <w:lastRenderedPageBreak/>
        <w:t>3.      In-</w:t>
      </w:r>
      <w:r w:rsidR="00537F42">
        <w:rPr>
          <w:rFonts w:ascii="Times New Roman" w:hAnsi="Times New Roman" w:cs="Times New Roman"/>
          <w:i/>
          <w:sz w:val="24"/>
          <w:szCs w:val="24"/>
        </w:rPr>
        <w:t>K</w:t>
      </w:r>
      <w:r w:rsidRPr="00036097">
        <w:rPr>
          <w:rFonts w:ascii="Times New Roman" w:hAnsi="Times New Roman" w:cs="Times New Roman"/>
          <w:i/>
          <w:sz w:val="24"/>
          <w:szCs w:val="24"/>
        </w:rPr>
        <w:t xml:space="preserve">ind </w:t>
      </w:r>
      <w:r w:rsidR="0069303B" w:rsidRPr="00036097">
        <w:rPr>
          <w:rFonts w:ascii="Times New Roman" w:hAnsi="Times New Roman" w:cs="Times New Roman"/>
          <w:i/>
          <w:sz w:val="24"/>
          <w:szCs w:val="24"/>
        </w:rPr>
        <w:t>D</w:t>
      </w:r>
      <w:r w:rsidRPr="009F549F">
        <w:rPr>
          <w:rFonts w:ascii="Times New Roman" w:hAnsi="Times New Roman"/>
          <w:i/>
          <w:sz w:val="24"/>
        </w:rPr>
        <w:t>onations</w:t>
      </w:r>
      <w:bookmarkEnd w:id="181"/>
      <w:bookmarkEnd w:id="182"/>
    </w:p>
    <w:p w14:paraId="23E46F62" w14:textId="57FE4F05" w:rsidR="007B1344" w:rsidRPr="009F549F" w:rsidRDefault="002347BA">
      <w:pPr>
        <w:spacing w:before="240" w:after="240"/>
        <w:jc w:val="both"/>
        <w:rPr>
          <w:rFonts w:eastAsia="Century Schoolbook"/>
        </w:rPr>
      </w:pPr>
      <w:r w:rsidRPr="009F549F">
        <w:rPr>
          <w:rFonts w:eastAsia="Century Schoolbook"/>
        </w:rPr>
        <w:tab/>
        <w:t>Finally, ULTRAs could help combat taxpayer efforts to game the value of their charitable contribution deductions and perhaps reform the treatment of contributions more generally. Many donations allow the contributor a deduction for the fair market value of their gift, whether the gift is made in cash or in kind. Charities must then independently report to the IRS the value of large in-kind donations, allowing for a double</w:t>
      </w:r>
      <w:r w:rsidR="006C65F0">
        <w:rPr>
          <w:rFonts w:eastAsia="Century Schoolbook"/>
        </w:rPr>
        <w:t xml:space="preserve"> </w:t>
      </w:r>
      <w:r w:rsidRPr="009F549F">
        <w:rPr>
          <w:rFonts w:eastAsia="Century Schoolbook"/>
        </w:rPr>
        <w:t>check on what individual donors report.</w:t>
      </w:r>
      <w:r w:rsidRPr="009F549F">
        <w:rPr>
          <w:rFonts w:eastAsia="Century Schoolbook"/>
          <w:vertAlign w:val="superscript"/>
        </w:rPr>
        <w:footnoteReference w:id="335"/>
      </w:r>
      <w:r w:rsidRPr="009F549F">
        <w:rPr>
          <w:rFonts w:eastAsia="Century Schoolbook"/>
        </w:rPr>
        <w:t xml:space="preserve"> But the charity has no reason to second-guess a donor’s position because making donors happy encourages donations, and</w:t>
      </w:r>
      <w:r w:rsidR="00E77357" w:rsidRPr="00036097">
        <w:rPr>
          <w:rFonts w:eastAsia="Century Schoolbook"/>
        </w:rPr>
        <w:t>,</w:t>
      </w:r>
      <w:r w:rsidRPr="009F549F">
        <w:rPr>
          <w:rFonts w:eastAsia="Century Schoolbook"/>
        </w:rPr>
        <w:t xml:space="preserve"> indeed</w:t>
      </w:r>
      <w:r w:rsidR="00E77357" w:rsidRPr="00036097">
        <w:rPr>
          <w:rFonts w:eastAsia="Century Schoolbook"/>
        </w:rPr>
        <w:t>,</w:t>
      </w:r>
      <w:r w:rsidRPr="009F549F">
        <w:rPr>
          <w:rFonts w:eastAsia="Century Schoolbook"/>
        </w:rPr>
        <w:t xml:space="preserve"> charity managers who are paid based on their fundraising hauls would likely be only too happy to inflate the value of these hauls. This leaves substantial room for gaming.</w:t>
      </w:r>
    </w:p>
    <w:p w14:paraId="0D91BF86" w14:textId="1D80D257" w:rsidR="007B1344" w:rsidRPr="009F549F" w:rsidRDefault="002347BA">
      <w:pPr>
        <w:spacing w:before="240" w:after="240"/>
        <w:jc w:val="both"/>
        <w:rPr>
          <w:rFonts w:eastAsia="Century Schoolbook"/>
        </w:rPr>
      </w:pPr>
      <w:bookmarkStart w:id="183" w:name="_43ky6rz" w:colFirst="0" w:colLast="0"/>
      <w:bookmarkEnd w:id="183"/>
      <w:r w:rsidRPr="009F549F">
        <w:rPr>
          <w:rFonts w:eastAsia="Century Schoolbook"/>
        </w:rPr>
        <w:tab/>
      </w:r>
      <w:r w:rsidRPr="00036097">
        <w:rPr>
          <w:rFonts w:eastAsia="Century Schoolbook"/>
        </w:rPr>
        <w:t>We</w:t>
      </w:r>
      <w:r w:rsidR="00E77357" w:rsidRPr="00036097">
        <w:rPr>
          <w:rFonts w:eastAsia="Century Schoolbook"/>
        </w:rPr>
        <w:t xml:space="preserve"> woul</w:t>
      </w:r>
      <w:r w:rsidRPr="00036097">
        <w:rPr>
          <w:rFonts w:eastAsia="Century Schoolbook"/>
        </w:rPr>
        <w:t>d</w:t>
      </w:r>
      <w:r w:rsidRPr="009F549F">
        <w:rPr>
          <w:rFonts w:eastAsia="Century Schoolbook"/>
        </w:rPr>
        <w:t xml:space="preserve"> rank conservation easements high in a list of the most abusive of these gaming efforts. Conservation easements are generally a promise by a property owner to maintain the property in its natural or historic state.</w:t>
      </w:r>
      <w:bookmarkStart w:id="184" w:name="_Ref115463900"/>
      <w:r w:rsidRPr="009F549F">
        <w:rPr>
          <w:rFonts w:eastAsia="Century Schoolbook"/>
          <w:vertAlign w:val="superscript"/>
        </w:rPr>
        <w:footnoteReference w:id="336"/>
      </w:r>
      <w:bookmarkEnd w:id="184"/>
      <w:r w:rsidRPr="009F549F">
        <w:rPr>
          <w:rFonts w:eastAsia="Century Schoolbook"/>
        </w:rPr>
        <w:t xml:space="preserve"> By donating this promise to a charity, the owner supposedly guarantees this promise, helping to ensure that marshlands </w:t>
      </w:r>
      <w:r w:rsidRPr="00036097">
        <w:rPr>
          <w:rFonts w:eastAsia="Century Schoolbook"/>
        </w:rPr>
        <w:t>w</w:t>
      </w:r>
      <w:r w:rsidR="00E63792" w:rsidRPr="00036097">
        <w:rPr>
          <w:rFonts w:eastAsia="Century Schoolbook"/>
        </w:rPr>
        <w:t>ill no</w:t>
      </w:r>
      <w:r w:rsidRPr="00036097">
        <w:rPr>
          <w:rFonts w:eastAsia="Century Schoolbook"/>
        </w:rPr>
        <w:t>t</w:t>
      </w:r>
      <w:r w:rsidRPr="009F549F">
        <w:rPr>
          <w:rFonts w:eastAsia="Century Schoolbook"/>
        </w:rPr>
        <w:t xml:space="preserve"> be turned into malls or architectural treasures chopped into condos.</w:t>
      </w:r>
      <w:r w:rsidRPr="009F549F">
        <w:rPr>
          <w:rFonts w:eastAsia="Century Schoolbook"/>
          <w:vertAlign w:val="superscript"/>
        </w:rPr>
        <w:footnoteReference w:id="337"/>
      </w:r>
      <w:r w:rsidRPr="009F549F">
        <w:rPr>
          <w:rFonts w:eastAsia="Century Schoolbook"/>
        </w:rPr>
        <w:t xml:space="preserve"> But often these are unlikely to be enforced,</w:t>
      </w:r>
      <w:bookmarkStart w:id="185" w:name="_Ref115466914"/>
      <w:r w:rsidRPr="009F549F">
        <w:rPr>
          <w:rFonts w:eastAsia="Century Schoolbook"/>
          <w:vertAlign w:val="superscript"/>
        </w:rPr>
        <w:footnoteReference w:id="338"/>
      </w:r>
      <w:bookmarkEnd w:id="185"/>
      <w:r w:rsidRPr="009F549F">
        <w:rPr>
          <w:rFonts w:eastAsia="Century Schoolbook"/>
        </w:rPr>
        <w:t xml:space="preserve"> are promises the owner would happily keep for their own purposes,</w:t>
      </w:r>
      <w:r w:rsidRPr="009F549F">
        <w:rPr>
          <w:rFonts w:eastAsia="Century Schoolbook"/>
          <w:vertAlign w:val="superscript"/>
        </w:rPr>
        <w:footnoteReference w:id="339"/>
      </w:r>
      <w:r w:rsidRPr="009F549F">
        <w:rPr>
          <w:rFonts w:eastAsia="Century Schoolbook"/>
        </w:rPr>
        <w:t xml:space="preserve"> or</w:t>
      </w:r>
      <w:r w:rsidR="00EA1EE1">
        <w:rPr>
          <w:rFonts w:eastAsia="Century Schoolbook"/>
        </w:rPr>
        <w:t>,</w:t>
      </w:r>
      <w:r w:rsidRPr="009F549F">
        <w:rPr>
          <w:rFonts w:eastAsia="Century Schoolbook"/>
        </w:rPr>
        <w:t xml:space="preserve"> in some high-profile </w:t>
      </w:r>
      <w:r w:rsidRPr="009F549F">
        <w:rPr>
          <w:rFonts w:eastAsia="Century Schoolbook"/>
        </w:rPr>
        <w:lastRenderedPageBreak/>
        <w:t>instances, are promises the owner is already legally obligated to keep anyway.</w:t>
      </w:r>
      <w:r w:rsidRPr="009F549F">
        <w:rPr>
          <w:rFonts w:eastAsia="Century Schoolbook"/>
          <w:vertAlign w:val="superscript"/>
        </w:rPr>
        <w:footnoteReference w:id="340"/>
      </w:r>
      <w:r w:rsidRPr="009F549F">
        <w:rPr>
          <w:rFonts w:eastAsia="Century Schoolbook"/>
        </w:rPr>
        <w:t xml:space="preserve"> Still, donors often claim that making the promise reduces the value of their property by millions of dollars and seek charitable contribution deductions to match.</w:t>
      </w:r>
      <w:r w:rsidRPr="009F549F">
        <w:rPr>
          <w:rFonts w:eastAsia="Century Schoolbook"/>
          <w:vertAlign w:val="superscript"/>
        </w:rPr>
        <w:footnoteReference w:id="341"/>
      </w:r>
      <w:r w:rsidRPr="009F549F">
        <w:rPr>
          <w:rFonts w:eastAsia="Century Schoolbook"/>
        </w:rPr>
        <w:t xml:space="preserve"> </w:t>
      </w:r>
      <w:r w:rsidR="00620F03" w:rsidRPr="00036097">
        <w:rPr>
          <w:rFonts w:eastAsia="Century Schoolbook"/>
        </w:rPr>
        <w:t xml:space="preserve">Because </w:t>
      </w:r>
      <w:r w:rsidRPr="009F549F">
        <w:rPr>
          <w:rFonts w:eastAsia="Century Schoolbook"/>
        </w:rPr>
        <w:t xml:space="preserve">almost by definition the encumbered property is not going to be sold or marketed, these claims are very hard for </w:t>
      </w:r>
      <w:r w:rsidR="006C65F0">
        <w:rPr>
          <w:rFonts w:eastAsia="Century Schoolbook"/>
        </w:rPr>
        <w:t xml:space="preserve">the </w:t>
      </w:r>
      <w:r w:rsidRPr="009F549F">
        <w:rPr>
          <w:rFonts w:eastAsia="Century Schoolbook"/>
        </w:rPr>
        <w:t>IRS to verify.</w:t>
      </w:r>
      <w:r w:rsidRPr="009F549F">
        <w:rPr>
          <w:rFonts w:eastAsia="Century Schoolbook"/>
          <w:vertAlign w:val="superscript"/>
        </w:rPr>
        <w:footnoteReference w:id="342"/>
      </w:r>
      <w:r w:rsidRPr="009F549F">
        <w:rPr>
          <w:rFonts w:eastAsia="Century Schoolbook"/>
        </w:rPr>
        <w:t xml:space="preserve"> Congress recently stalled in its efforts to overhaul conservation easements’ tax treatment.</w:t>
      </w:r>
      <w:r w:rsidRPr="009F549F">
        <w:rPr>
          <w:rFonts w:eastAsia="Century Schoolbook"/>
          <w:vertAlign w:val="superscript"/>
        </w:rPr>
        <w:footnoteReference w:id="343"/>
      </w:r>
      <w:r w:rsidRPr="009F549F">
        <w:rPr>
          <w:rFonts w:eastAsia="Century Schoolbook"/>
        </w:rPr>
        <w:t xml:space="preserve"> </w:t>
      </w:r>
    </w:p>
    <w:p w14:paraId="2B6D1EA5" w14:textId="7212214E" w:rsidR="007B1344" w:rsidRPr="009F549F" w:rsidRDefault="002347BA">
      <w:pPr>
        <w:spacing w:before="240" w:after="240"/>
        <w:ind w:firstLine="720"/>
        <w:jc w:val="both"/>
        <w:rPr>
          <w:rFonts w:eastAsia="Century Schoolbook"/>
        </w:rPr>
      </w:pPr>
      <w:bookmarkStart w:id="186" w:name="_2iq8gzs" w:colFirst="0" w:colLast="0"/>
      <w:bookmarkEnd w:id="186"/>
      <w:r w:rsidRPr="009F549F">
        <w:rPr>
          <w:rFonts w:eastAsia="Century Schoolbook"/>
        </w:rPr>
        <w:t xml:space="preserve">Split-interest trusts </w:t>
      </w:r>
      <w:r w:rsidR="006C65F0">
        <w:rPr>
          <w:rFonts w:eastAsia="Century Schoolbook"/>
        </w:rPr>
        <w:t>are another</w:t>
      </w:r>
      <w:r w:rsidRPr="009F549F">
        <w:rPr>
          <w:rFonts w:eastAsia="Century Schoolbook"/>
        </w:rPr>
        <w:t xml:space="preserve"> abusive tactic current law permits. To simplify, a wealthy individual divides their estate into two pieces: a time-limited stream of payments (say, annual payments for the life of a chosen heir) and then a remainder interest that represents any value left over when the first piece is paid off. Since remainder interests are hard to value, current law uses approximations that are easy to game.</w:t>
      </w:r>
      <w:r w:rsidRPr="009F549F">
        <w:rPr>
          <w:rFonts w:eastAsia="Century Schoolbook"/>
          <w:vertAlign w:val="superscript"/>
        </w:rPr>
        <w:footnoteReference w:id="344"/>
      </w:r>
      <w:r w:rsidRPr="009F549F">
        <w:rPr>
          <w:rFonts w:eastAsia="Century Schoolbook"/>
        </w:rPr>
        <w:t xml:space="preserve"> </w:t>
      </w:r>
    </w:p>
    <w:p w14:paraId="143D64CE" w14:textId="2B266319" w:rsidR="007B1344" w:rsidRPr="009F549F" w:rsidRDefault="002347BA">
      <w:pPr>
        <w:spacing w:before="240" w:after="240"/>
        <w:ind w:firstLine="720"/>
        <w:jc w:val="both"/>
        <w:rPr>
          <w:rFonts w:eastAsia="Century Schoolbook"/>
        </w:rPr>
      </w:pPr>
      <w:r w:rsidRPr="009F549F">
        <w:rPr>
          <w:rFonts w:eastAsia="Century Schoolbook"/>
        </w:rPr>
        <w:lastRenderedPageBreak/>
        <w:t xml:space="preserve">ULTRAs could replace all of these regimes. In the case of conservation easements or other donations whose value is highly gameable, the donor would not get an immediate deduction but instead would receive a reverse ULTRA. Then, when the </w:t>
      </w:r>
      <w:proofErr w:type="spellStart"/>
      <w:r w:rsidRPr="009F549F">
        <w:rPr>
          <w:rFonts w:eastAsia="Century Schoolbook"/>
        </w:rPr>
        <w:t>donee</w:t>
      </w:r>
      <w:proofErr w:type="spellEnd"/>
      <w:r w:rsidRPr="009F549F">
        <w:rPr>
          <w:rFonts w:eastAsia="Century Schoolbook"/>
        </w:rPr>
        <w:t xml:space="preserve"> charity disposes of the gift, the donor would get their deduction in the full amount of the disposition value, in effect paying the donors interest on their deferred deduction at the asset’s internal rate of return.</w:t>
      </w:r>
      <w:r w:rsidRPr="009F549F">
        <w:rPr>
          <w:rFonts w:eastAsia="Century Schoolbook"/>
          <w:vertAlign w:val="superscript"/>
        </w:rPr>
        <w:footnoteReference w:id="345"/>
      </w:r>
      <w:r w:rsidRPr="009F549F">
        <w:rPr>
          <w:rFonts w:eastAsia="Century Schoolbook"/>
        </w:rPr>
        <w:t xml:space="preserve">  </w:t>
      </w:r>
    </w:p>
    <w:p w14:paraId="1250E38B" w14:textId="4C17347F" w:rsidR="007B1344" w:rsidRPr="009F549F" w:rsidRDefault="002347BA">
      <w:pPr>
        <w:spacing w:before="240" w:after="240"/>
        <w:ind w:firstLine="720"/>
        <w:jc w:val="both"/>
        <w:rPr>
          <w:rFonts w:eastAsia="Century Schoolbook"/>
        </w:rPr>
      </w:pPr>
      <w:r w:rsidRPr="009F549F">
        <w:rPr>
          <w:rFonts w:eastAsia="Century Schoolbook"/>
        </w:rPr>
        <w:t xml:space="preserve">For split-interest trusts, ULTRAs could erase the need to rely on actuarial tables or statutory discount rates, thereby ending the games that exploit the inaccuracies of those tools. When a charity receives a remainder interest (a </w:t>
      </w:r>
      <w:r w:rsidR="007D70C9" w:rsidRPr="00036097">
        <w:rPr>
          <w:rFonts w:eastAsia="Century Schoolbook"/>
        </w:rPr>
        <w:t xml:space="preserve">charitable remainder trust, or </w:t>
      </w:r>
      <w:r w:rsidR="00CC5CAF" w:rsidRPr="00036097">
        <w:rPr>
          <w:rFonts w:eastAsia="Century Schoolbook"/>
        </w:rPr>
        <w:t>“</w:t>
      </w:r>
      <w:r w:rsidRPr="009F549F">
        <w:rPr>
          <w:rFonts w:eastAsia="Century Schoolbook"/>
        </w:rPr>
        <w:t>CRT</w:t>
      </w:r>
      <w:r w:rsidR="00CC5CAF" w:rsidRPr="00036097">
        <w:rPr>
          <w:rFonts w:eastAsia="Century Schoolbook"/>
        </w:rPr>
        <w:t>”</w:t>
      </w:r>
      <w:r w:rsidRPr="009F549F">
        <w:rPr>
          <w:rFonts w:eastAsia="Century Schoolbook"/>
        </w:rPr>
        <w:t xml:space="preserve">), the donor would not be able to claim an immediate deduction (with value estimated using actuarial tables) but instead would again get a reverse ULTRA redeemable when the charitable interest finally passes to the charity. </w:t>
      </w:r>
      <w:r w:rsidR="00CC5CAF" w:rsidRPr="00036097">
        <w:rPr>
          <w:rFonts w:eastAsia="Century Schoolbook"/>
        </w:rPr>
        <w:t>Because</w:t>
      </w:r>
      <w:r w:rsidRPr="009F549F">
        <w:rPr>
          <w:rFonts w:eastAsia="Century Schoolbook"/>
        </w:rPr>
        <w:t xml:space="preserve"> the assets have not yet been transferred to charity for tax purposes, the CRT could then be treated as a taxable trust, preventing tax-free diversification that mostly benefits the noncharitable beneficiaries. If </w:t>
      </w:r>
      <w:r w:rsidRPr="00036097">
        <w:rPr>
          <w:rFonts w:eastAsia="Century Schoolbook"/>
        </w:rPr>
        <w:t>it</w:t>
      </w:r>
      <w:r w:rsidR="00CC5CAF" w:rsidRPr="00036097">
        <w:rPr>
          <w:rFonts w:eastAsia="Century Schoolbook"/>
        </w:rPr>
        <w:t xml:space="preserve"> i</w:t>
      </w:r>
      <w:r w:rsidRPr="00036097">
        <w:rPr>
          <w:rFonts w:eastAsia="Century Schoolbook"/>
        </w:rPr>
        <w:t>s</w:t>
      </w:r>
      <w:r w:rsidRPr="009F549F">
        <w:rPr>
          <w:rFonts w:eastAsia="Century Schoolbook"/>
        </w:rPr>
        <w:t xml:space="preserve"> noncharitable heirs who get the remainder, the trust’s settlor could claim a full charitable contribution deduction, but any beneficiaries of the trust would also have to open an ULTRA that would trigger when they received their share. This arrangement resembles an earlier proposal by Wendy </w:t>
      </w:r>
      <w:proofErr w:type="spellStart"/>
      <w:r w:rsidRPr="009F549F">
        <w:rPr>
          <w:rFonts w:eastAsia="Century Schoolbook"/>
        </w:rPr>
        <w:t>Gerzog</w:t>
      </w:r>
      <w:proofErr w:type="spellEnd"/>
      <w:r w:rsidRPr="009F549F">
        <w:rPr>
          <w:rFonts w:eastAsia="Century Schoolbook"/>
        </w:rPr>
        <w:t xml:space="preserve"> to tax split interests when actually received.</w:t>
      </w:r>
      <w:r w:rsidRPr="009F549F">
        <w:rPr>
          <w:rFonts w:eastAsia="Century Schoolbook"/>
          <w:vertAlign w:val="superscript"/>
        </w:rPr>
        <w:footnoteReference w:id="346"/>
      </w:r>
      <w:r w:rsidRPr="009F549F">
        <w:rPr>
          <w:rFonts w:eastAsia="Century Schoolbook"/>
        </w:rPr>
        <w:t xml:space="preserve"> But </w:t>
      </w:r>
      <w:r w:rsidR="00CC5CAF" w:rsidRPr="00036097">
        <w:rPr>
          <w:rFonts w:eastAsia="Century Schoolbook"/>
        </w:rPr>
        <w:t xml:space="preserve">because </w:t>
      </w:r>
      <w:proofErr w:type="spellStart"/>
      <w:r w:rsidRPr="009F549F">
        <w:rPr>
          <w:rFonts w:eastAsia="Century Schoolbook"/>
        </w:rPr>
        <w:t>Gerzog’s</w:t>
      </w:r>
      <w:proofErr w:type="spellEnd"/>
      <w:r w:rsidRPr="009F549F">
        <w:rPr>
          <w:rFonts w:eastAsia="Century Schoolbook"/>
        </w:rPr>
        <w:t xml:space="preserve"> proposal omits any kind of retrospective interest charge, the remaindermen still get the tax benefits of deferral, whereas the ULTRA mechanism would remove that.   </w:t>
      </w:r>
    </w:p>
    <w:p w14:paraId="44360185" w14:textId="29FC5458" w:rsidR="007B1344" w:rsidRPr="009F549F" w:rsidRDefault="002347BA">
      <w:pPr>
        <w:spacing w:before="240" w:after="240"/>
        <w:ind w:firstLine="720"/>
        <w:jc w:val="both"/>
        <w:rPr>
          <w:rFonts w:eastAsia="Century Schoolbook"/>
        </w:rPr>
      </w:pPr>
      <w:bookmarkStart w:id="187" w:name="_xvir7l" w:colFirst="0" w:colLast="0"/>
      <w:bookmarkEnd w:id="187"/>
      <w:r w:rsidRPr="009F549F">
        <w:rPr>
          <w:rFonts w:eastAsia="Century Schoolbook"/>
        </w:rPr>
        <w:t xml:space="preserve">More generally, an ULTRA would facilitate treating gifts to charity as realization events. There is no </w:t>
      </w:r>
      <w:r w:rsidR="00B70F86">
        <w:rPr>
          <w:rFonts w:ascii="Century Schoolbook" w:eastAsia="Century Schoolbook" w:hAnsi="Century Schoolbook" w:cs="Century Schoolbook"/>
        </w:rPr>
        <w:t>convincing</w:t>
      </w:r>
      <w:r w:rsidRPr="009F549F">
        <w:rPr>
          <w:rFonts w:eastAsia="Century Schoolbook"/>
        </w:rPr>
        <w:t xml:space="preserve"> policy rationale for allowing donors to </w:t>
      </w:r>
      <w:r w:rsidRPr="009F549F">
        <w:rPr>
          <w:rFonts w:eastAsia="Century Schoolbook"/>
        </w:rPr>
        <w:lastRenderedPageBreak/>
        <w:t>escape paying tax on assets they gift.</w:t>
      </w:r>
      <w:bookmarkStart w:id="188" w:name="_Ref115469179"/>
      <w:r w:rsidRPr="009F549F">
        <w:rPr>
          <w:rFonts w:eastAsia="Century Schoolbook"/>
          <w:vertAlign w:val="superscript"/>
        </w:rPr>
        <w:footnoteReference w:id="347"/>
      </w:r>
      <w:bookmarkEnd w:id="188"/>
      <w:r w:rsidRPr="009F549F">
        <w:rPr>
          <w:rFonts w:eastAsia="Century Schoolbook"/>
        </w:rPr>
        <w:t xml:space="preserve"> Like the basis step-up at death, the nonrealization rule increases lock-in by offering taxpayers a zero-tax alternative to selling their assets.</w:t>
      </w:r>
      <w:r w:rsidRPr="009F549F">
        <w:rPr>
          <w:rFonts w:eastAsia="Century Schoolbook"/>
          <w:vertAlign w:val="superscript"/>
        </w:rPr>
        <w:footnoteReference w:id="348"/>
      </w:r>
      <w:r w:rsidRPr="009F549F">
        <w:rPr>
          <w:rFonts w:eastAsia="Century Schoolbook"/>
        </w:rPr>
        <w:t xml:space="preserve"> Thus, even if the nonrealization rule increases donations, it would be far better to repeal it and simply increase the value of the charitable contribution deduction. An ULTRA would ease any valuation and liquidity obstacles to that reform.</w:t>
      </w:r>
      <w:r w:rsidRPr="009F549F">
        <w:rPr>
          <w:rFonts w:eastAsia="Century Schoolbook"/>
          <w:vertAlign w:val="superscript"/>
        </w:rPr>
        <w:footnoteReference w:id="349"/>
      </w:r>
      <w:r w:rsidRPr="009F549F">
        <w:rPr>
          <w:rFonts w:eastAsia="Century Schoolbook"/>
        </w:rPr>
        <w:t xml:space="preserve">  </w:t>
      </w:r>
    </w:p>
    <w:p w14:paraId="7F98A3A8" w14:textId="503C6DD0" w:rsidR="007B1344" w:rsidRPr="009F549F" w:rsidRDefault="002347BA">
      <w:pPr>
        <w:spacing w:before="240" w:after="240"/>
        <w:ind w:firstLine="720"/>
        <w:jc w:val="both"/>
        <w:rPr>
          <w:rFonts w:eastAsia="Century Schoolbook"/>
        </w:rPr>
      </w:pPr>
      <w:r w:rsidRPr="009F549F">
        <w:rPr>
          <w:rFonts w:eastAsia="Century Schoolbook"/>
        </w:rPr>
        <w:t>In short, the ULTRA is a highly flexible tool that can readily be combined with other valuation tools. In combination, these valuation systems can close off the loopholes that plague the income tax and</w:t>
      </w:r>
      <w:r w:rsidR="008372CD" w:rsidRPr="00036097">
        <w:rPr>
          <w:rFonts w:eastAsia="Century Schoolbook"/>
        </w:rPr>
        <w:t>,</w:t>
      </w:r>
      <w:r w:rsidRPr="009F549F">
        <w:rPr>
          <w:rFonts w:eastAsia="Century Schoolbook"/>
        </w:rPr>
        <w:t xml:space="preserve"> in the minds of critics</w:t>
      </w:r>
      <w:r w:rsidR="008372CD" w:rsidRPr="00036097">
        <w:rPr>
          <w:rFonts w:eastAsia="Century Schoolbook"/>
        </w:rPr>
        <w:t>,</w:t>
      </w:r>
      <w:r w:rsidRPr="009F549F">
        <w:rPr>
          <w:rFonts w:eastAsia="Century Schoolbook"/>
        </w:rPr>
        <w:t xml:space="preserve"> fatally undermine many major potential reforms.</w:t>
      </w:r>
    </w:p>
    <w:p w14:paraId="1DCB655C" w14:textId="77777777" w:rsidR="007B1344" w:rsidRPr="009F549F" w:rsidRDefault="002347BA">
      <w:pPr>
        <w:pStyle w:val="Heading1"/>
        <w:rPr>
          <w:rFonts w:ascii="Times New Roman" w:hAnsi="Times New Roman"/>
          <w:smallCaps/>
          <w:sz w:val="24"/>
        </w:rPr>
      </w:pPr>
      <w:bookmarkStart w:id="189" w:name="_Toc115088951"/>
      <w:bookmarkStart w:id="190" w:name="_Toc120019847"/>
      <w:r w:rsidRPr="009F549F">
        <w:rPr>
          <w:rFonts w:ascii="Times New Roman" w:hAnsi="Times New Roman"/>
          <w:b w:val="0"/>
          <w:smallCaps/>
          <w:sz w:val="24"/>
        </w:rPr>
        <w:t>Conclusion</w:t>
      </w:r>
      <w:bookmarkEnd w:id="189"/>
      <w:bookmarkEnd w:id="190"/>
    </w:p>
    <w:p w14:paraId="1EFC41AE" w14:textId="22939939" w:rsidR="007B1344" w:rsidRPr="009F549F" w:rsidRDefault="002347BA">
      <w:pPr>
        <w:spacing w:before="240" w:after="240"/>
        <w:ind w:firstLine="720"/>
        <w:jc w:val="both"/>
        <w:rPr>
          <w:rFonts w:eastAsia="Century Schoolbook"/>
        </w:rPr>
      </w:pPr>
      <w:r w:rsidRPr="009F549F">
        <w:rPr>
          <w:rFonts w:eastAsia="Century Schoolbook"/>
        </w:rPr>
        <w:t>Let us retrace our steps</w:t>
      </w:r>
      <w:r w:rsidR="00AA1692">
        <w:rPr>
          <w:rFonts w:ascii="Century Schoolbook" w:eastAsia="Century Schoolbook" w:hAnsi="Century Schoolbook" w:cs="Century Schoolbook"/>
        </w:rPr>
        <w:t>.</w:t>
      </w:r>
      <w:r w:rsidRPr="009F549F">
        <w:rPr>
          <w:rFonts w:eastAsia="Century Schoolbook"/>
        </w:rPr>
        <w:t xml:space="preserve"> Though the consensus is not universal, there is considerable agreement that income and wealth inequality have grown and ought to be addressed. There is similar consensus that the current tax system does not tax the extraordinarily wealthy very well at all. At this point, consensus frays. Some would argue that the future must resemble the past, the very wealthy are just too good at playing valuation games for them to ever effectively be taxed, and there is thus little that can be done about this unfortunate situation. Others have offered reform proposals, yet all prior reform proposals are flawed in critical respects</w:t>
      </w:r>
      <w:r w:rsidR="00AA1692">
        <w:rPr>
          <w:rFonts w:ascii="Century Schoolbook" w:eastAsia="Century Schoolbook" w:hAnsi="Century Schoolbook" w:cs="Century Schoolbook"/>
        </w:rPr>
        <w:t xml:space="preserve">. </w:t>
      </w:r>
      <w:r w:rsidRPr="009F549F">
        <w:rPr>
          <w:rFonts w:eastAsia="Century Schoolbook"/>
        </w:rPr>
        <w:t xml:space="preserve"> </w:t>
      </w:r>
    </w:p>
    <w:p w14:paraId="4E708015" w14:textId="397E6F8B" w:rsidR="007B1344" w:rsidRPr="009F549F" w:rsidRDefault="002347BA">
      <w:pPr>
        <w:spacing w:before="240" w:after="240"/>
        <w:ind w:firstLine="720"/>
        <w:jc w:val="both"/>
        <w:rPr>
          <w:rFonts w:eastAsia="Century Schoolbook"/>
        </w:rPr>
      </w:pPr>
      <w:r w:rsidRPr="009F549F">
        <w:rPr>
          <w:rFonts w:eastAsia="Century Schoolbook"/>
        </w:rPr>
        <w:t>Despite its acronym, our proposed ULTRA mechanism is</w:t>
      </w:r>
      <w:r w:rsidR="002B7FA4" w:rsidRPr="00036097">
        <w:rPr>
          <w:rFonts w:eastAsia="Century Schoolbook"/>
        </w:rPr>
        <w:t xml:space="preserve">, </w:t>
      </w:r>
      <w:r w:rsidRPr="009F549F">
        <w:rPr>
          <w:rFonts w:eastAsia="Century Schoolbook"/>
        </w:rPr>
        <w:t>in a sense</w:t>
      </w:r>
      <w:r w:rsidR="002B7FA4" w:rsidRPr="00036097">
        <w:rPr>
          <w:rFonts w:eastAsia="Century Schoolbook"/>
        </w:rPr>
        <w:t xml:space="preserve">, </w:t>
      </w:r>
      <w:r w:rsidRPr="009F549F">
        <w:rPr>
          <w:rFonts w:eastAsia="Century Schoolbook"/>
        </w:rPr>
        <w:t xml:space="preserve">modest. It is just a specific, good-enough plug for the valuation holes in the current </w:t>
      </w:r>
      <w:r w:rsidRPr="009F549F">
        <w:rPr>
          <w:rFonts w:eastAsia="Century Schoolbook"/>
        </w:rPr>
        <w:lastRenderedPageBreak/>
        <w:t>tax system and in prior reform proposals. Furthermore, its key analytic move</w:t>
      </w:r>
      <w:r w:rsidR="002B7FA4" w:rsidRPr="00036097">
        <w:rPr>
          <w:rFonts w:eastAsia="Century Schoolbook"/>
        </w:rPr>
        <w:t>—</w:t>
      </w:r>
      <w:r w:rsidRPr="009F549F">
        <w:rPr>
          <w:rFonts w:eastAsia="Century Schoolbook"/>
        </w:rPr>
        <w:t>granting the government a notional equity interest</w:t>
      </w:r>
      <w:r w:rsidR="002B7FA4" w:rsidRPr="00036097">
        <w:rPr>
          <w:rFonts w:eastAsia="Century Schoolbook"/>
        </w:rPr>
        <w:t>—</w:t>
      </w:r>
      <w:r w:rsidRPr="009F549F">
        <w:rPr>
          <w:rFonts w:eastAsia="Century Schoolbook"/>
        </w:rPr>
        <w:t>is just a concrete reflection of how many of us have long thought about income taxation</w:t>
      </w:r>
      <w:r w:rsidR="00F3183D" w:rsidRPr="00036097">
        <w:rPr>
          <w:rFonts w:eastAsia="Century Schoolbook"/>
        </w:rPr>
        <w:t xml:space="preserve">: </w:t>
      </w:r>
      <w:r w:rsidRPr="009F549F">
        <w:rPr>
          <w:rFonts w:eastAsia="Century Schoolbook"/>
        </w:rPr>
        <w:t>namely, that when we have an income tax the government is supposed to serve as a silent partner in our income</w:t>
      </w:r>
      <w:r w:rsidR="001C162E">
        <w:rPr>
          <w:rFonts w:eastAsia="Century Schoolbook"/>
        </w:rPr>
        <w:t>-</w:t>
      </w:r>
      <w:r w:rsidRPr="009F549F">
        <w:rPr>
          <w:rFonts w:eastAsia="Century Schoolbook"/>
        </w:rPr>
        <w:t>earning endeavors.</w:t>
      </w:r>
      <w:r w:rsidRPr="009F549F">
        <w:rPr>
          <w:rFonts w:eastAsia="Century Schoolbook"/>
          <w:vertAlign w:val="superscript"/>
        </w:rPr>
        <w:footnoteReference w:id="350"/>
      </w:r>
    </w:p>
    <w:p w14:paraId="4CEE9798" w14:textId="4289EB9B" w:rsidR="007B1344" w:rsidRPr="009F549F" w:rsidRDefault="002347BA">
      <w:pPr>
        <w:spacing w:before="240" w:after="240"/>
        <w:ind w:firstLine="720"/>
        <w:jc w:val="both"/>
        <w:rPr>
          <w:rFonts w:eastAsia="Century Schoolbook"/>
        </w:rPr>
      </w:pPr>
      <w:r w:rsidRPr="009F549F">
        <w:rPr>
          <w:rFonts w:eastAsia="Century Schoolbook"/>
        </w:rPr>
        <w:t>Yet plugging tax valuation holes is critical to reform. Absent sufficient plugs, tax lawyers and financial planners can and do design gaming stratagems to enable wealthy taxpayers to squeeze most of their wealth through unplugged holes to escape tax. This is the story of how the existing income tax is broken as applied to the wealthy because key valuation holes remain unplugged.</w:t>
      </w:r>
      <w:r w:rsidRPr="009F549F">
        <w:rPr>
          <w:rFonts w:eastAsia="Century Schoolbook"/>
          <w:vertAlign w:val="superscript"/>
        </w:rPr>
        <w:footnoteReference w:id="351"/>
      </w:r>
      <w:r w:rsidRPr="009F549F">
        <w:rPr>
          <w:rFonts w:eastAsia="Century Schoolbook"/>
        </w:rPr>
        <w:t xml:space="preserve"> This is also a key part of the story of how many prior attempts at taxing wealth have failed, again because of the failure to plug key valuation holes.</w:t>
      </w:r>
      <w:r w:rsidRPr="009F549F">
        <w:rPr>
          <w:rFonts w:eastAsia="Century Schoolbook"/>
          <w:vertAlign w:val="superscript"/>
        </w:rPr>
        <w:footnoteReference w:id="352"/>
      </w:r>
    </w:p>
    <w:p w14:paraId="783A869F" w14:textId="328069CD" w:rsidR="007B1344" w:rsidRPr="009F549F" w:rsidRDefault="002347BA">
      <w:pPr>
        <w:spacing w:before="240" w:after="240"/>
        <w:ind w:firstLine="720"/>
        <w:jc w:val="both"/>
        <w:rPr>
          <w:rFonts w:eastAsia="Century Schoolbook"/>
        </w:rPr>
      </w:pPr>
      <w:r w:rsidRPr="009F549F">
        <w:rPr>
          <w:rFonts w:eastAsia="Century Schoolbook"/>
        </w:rPr>
        <w:t>The ULTRA mechanism advances over prior reform efforts because (</w:t>
      </w:r>
      <w:r w:rsidR="00C27E3E" w:rsidRPr="00036097">
        <w:rPr>
          <w:rFonts w:eastAsia="Century Schoolbook"/>
        </w:rPr>
        <w:t>1</w:t>
      </w:r>
      <w:r w:rsidRPr="009F549F">
        <w:rPr>
          <w:rFonts w:eastAsia="Century Schoolbook"/>
        </w:rPr>
        <w:t>) the notional equity interest it offers to the government counteracts the incentives for deferral-based tax games, (</w:t>
      </w:r>
      <w:r w:rsidR="00C27E3E" w:rsidRPr="00036097">
        <w:rPr>
          <w:rFonts w:eastAsia="Century Schoolbook"/>
        </w:rPr>
        <w:t>2</w:t>
      </w:r>
      <w:r w:rsidRPr="009F549F">
        <w:rPr>
          <w:rFonts w:eastAsia="Century Schoolbook"/>
        </w:rPr>
        <w:t xml:space="preserve">) it </w:t>
      </w:r>
      <w:r w:rsidR="00D30730">
        <w:rPr>
          <w:rFonts w:eastAsia="Century Schoolbook"/>
        </w:rPr>
        <w:t>alleviates</w:t>
      </w:r>
      <w:r w:rsidR="00D30730" w:rsidRPr="009F549F">
        <w:rPr>
          <w:rFonts w:eastAsia="Century Schoolbook"/>
        </w:rPr>
        <w:t xml:space="preserve"> </w:t>
      </w:r>
      <w:r w:rsidRPr="009F549F">
        <w:rPr>
          <w:rFonts w:eastAsia="Century Schoolbook"/>
        </w:rPr>
        <w:t>the political optionality concerns of retrospective and realization-based reforms, (</w:t>
      </w:r>
      <w:r w:rsidR="00C27E3E" w:rsidRPr="00036097">
        <w:rPr>
          <w:rFonts w:eastAsia="Century Schoolbook"/>
        </w:rPr>
        <w:t>3</w:t>
      </w:r>
      <w:r w:rsidRPr="009F549F">
        <w:rPr>
          <w:rFonts w:eastAsia="Century Schoolbook"/>
        </w:rPr>
        <w:t>) its unique separated</w:t>
      </w:r>
      <w:r w:rsidR="001C162E">
        <w:rPr>
          <w:rFonts w:eastAsia="Century Schoolbook"/>
        </w:rPr>
        <w:t>-</w:t>
      </w:r>
      <w:r w:rsidRPr="009F549F">
        <w:rPr>
          <w:rFonts w:eastAsia="Century Schoolbook"/>
        </w:rPr>
        <w:t xml:space="preserve">accounts </w:t>
      </w:r>
      <w:r w:rsidR="00B63EB4">
        <w:rPr>
          <w:rFonts w:eastAsia="Century Schoolbook"/>
        </w:rPr>
        <w:t xml:space="preserve">and take-it-or-leave-it alternative valuation </w:t>
      </w:r>
      <w:r w:rsidRPr="009F549F">
        <w:rPr>
          <w:rFonts w:eastAsia="Century Schoolbook"/>
        </w:rPr>
        <w:t>methodolog</w:t>
      </w:r>
      <w:r w:rsidR="00B63EB4">
        <w:rPr>
          <w:rFonts w:eastAsia="Century Schoolbook"/>
        </w:rPr>
        <w:t>ies</w:t>
      </w:r>
      <w:r w:rsidRPr="009F549F">
        <w:rPr>
          <w:rFonts w:eastAsia="Century Schoolbook"/>
        </w:rPr>
        <w:t xml:space="preserve"> </w:t>
      </w:r>
      <w:r w:rsidR="00A91DF4">
        <w:rPr>
          <w:rFonts w:eastAsia="Century Schoolbook"/>
        </w:rPr>
        <w:t xml:space="preserve">together </w:t>
      </w:r>
      <w:r w:rsidRPr="009F549F">
        <w:rPr>
          <w:rFonts w:eastAsia="Century Schoolbook"/>
        </w:rPr>
        <w:t xml:space="preserve">readily </w:t>
      </w:r>
      <w:r w:rsidR="002A7D4B">
        <w:rPr>
          <w:rFonts w:ascii="Century Schoolbook" w:eastAsia="Century Schoolbook" w:hAnsi="Century Schoolbook" w:cs="Century Schoolbook"/>
        </w:rPr>
        <w:t xml:space="preserve">manage </w:t>
      </w:r>
      <w:r w:rsidRPr="009F549F">
        <w:rPr>
          <w:rFonts w:eastAsia="Century Schoolbook"/>
        </w:rPr>
        <w:t>the issues created by contributions, partial withdrawals, and deemed withdrawals</w:t>
      </w:r>
      <w:r w:rsidR="008F7E25">
        <w:rPr>
          <w:rFonts w:ascii="Century Schoolbook" w:eastAsia="Century Schoolbook" w:hAnsi="Century Schoolbook" w:cs="Century Schoolbook"/>
        </w:rPr>
        <w:t>—including personal-level borrowing</w:t>
      </w:r>
      <w:r w:rsidRPr="009F549F">
        <w:rPr>
          <w:rFonts w:eastAsia="Century Schoolbook"/>
        </w:rPr>
        <w:t>, and (</w:t>
      </w:r>
      <w:r w:rsidR="00C27E3E" w:rsidRPr="00036097">
        <w:rPr>
          <w:rFonts w:eastAsia="Century Schoolbook"/>
        </w:rPr>
        <w:t>4</w:t>
      </w:r>
      <w:r w:rsidRPr="009F549F">
        <w:rPr>
          <w:rFonts w:eastAsia="Century Schoolbook"/>
        </w:rPr>
        <w:t xml:space="preserve">) it resolves the jurisdictional issues that </w:t>
      </w:r>
      <w:r w:rsidR="00446655">
        <w:rPr>
          <w:rFonts w:eastAsia="Century Schoolbook"/>
        </w:rPr>
        <w:t xml:space="preserve">might </w:t>
      </w:r>
      <w:r w:rsidRPr="009F549F">
        <w:rPr>
          <w:rFonts w:eastAsia="Century Schoolbook"/>
        </w:rPr>
        <w:t>otherwise interfere with state-level attempts at reaching mobile taxpayers.</w:t>
      </w:r>
      <w:r w:rsidRPr="009F549F">
        <w:rPr>
          <w:rFonts w:eastAsia="Century Schoolbook"/>
          <w:vertAlign w:val="superscript"/>
        </w:rPr>
        <w:footnoteReference w:id="353"/>
      </w:r>
      <w:r w:rsidRPr="009F549F">
        <w:rPr>
          <w:rFonts w:eastAsia="Century Schoolbook"/>
        </w:rPr>
        <w:t xml:space="preserve"> Together, we have argued that these innovations of the ULTRA mechanism suffice to offer a general-purpose plug for </w:t>
      </w:r>
      <w:r w:rsidR="009D0626">
        <w:rPr>
          <w:rFonts w:eastAsia="Century Schoolbook"/>
        </w:rPr>
        <w:t xml:space="preserve">a wide variety of critical </w:t>
      </w:r>
      <w:r w:rsidRPr="009F549F">
        <w:rPr>
          <w:rFonts w:eastAsia="Century Schoolbook"/>
        </w:rPr>
        <w:t xml:space="preserve">tax valuation holes. </w:t>
      </w:r>
    </w:p>
    <w:p w14:paraId="784B6AE2" w14:textId="77777777" w:rsidR="007B1344" w:rsidRPr="009F549F" w:rsidRDefault="002347BA">
      <w:pPr>
        <w:spacing w:before="240" w:after="240"/>
        <w:ind w:firstLine="720"/>
        <w:jc w:val="both"/>
        <w:rPr>
          <w:rFonts w:eastAsia="Century Schoolbook"/>
        </w:rPr>
      </w:pPr>
      <w:r w:rsidRPr="009F549F">
        <w:rPr>
          <w:rFonts w:eastAsia="Century Schoolbook"/>
        </w:rPr>
        <w:t>Without a solution for plugging valuation holes, tax systems cannot effectively address rising inequality. We have argued that our proposed ULTRA mechanism answers these problems. By using ULTRAs to plug tax valuation holes, we can feasibly reform our tax systems to reach extreme wealth.</w:t>
      </w:r>
    </w:p>
    <w:p w14:paraId="00505A50" w14:textId="77777777" w:rsidR="007B1344" w:rsidRPr="00D10094" w:rsidRDefault="002347BA" w:rsidP="009F549F">
      <w:pPr>
        <w:pStyle w:val="Heading1"/>
        <w:rPr>
          <w:smallCaps/>
        </w:rPr>
      </w:pPr>
      <w:bookmarkStart w:id="191" w:name="_Toc120019848"/>
      <w:r w:rsidRPr="009F549F">
        <w:rPr>
          <w:rFonts w:ascii="Times New Roman" w:hAnsi="Times New Roman"/>
          <w:b w:val="0"/>
          <w:smallCaps/>
          <w:sz w:val="24"/>
        </w:rPr>
        <w:lastRenderedPageBreak/>
        <w:t>Technical Appendix</w:t>
      </w:r>
      <w:bookmarkEnd w:id="191"/>
    </w:p>
    <w:p w14:paraId="563D88BC" w14:textId="7BCCE6F7" w:rsidR="007B1344" w:rsidRPr="009F549F" w:rsidRDefault="002347BA">
      <w:pPr>
        <w:spacing w:before="240" w:after="240"/>
        <w:ind w:firstLine="720"/>
        <w:jc w:val="both"/>
        <w:rPr>
          <w:rFonts w:eastAsia="Century Schoolbook"/>
        </w:rPr>
      </w:pPr>
      <w:r w:rsidRPr="009F549F">
        <w:rPr>
          <w:rFonts w:eastAsia="Century Schoolbook"/>
        </w:rPr>
        <w:t>This Appendix offers additional details on the workings and math behind our proposed approach to interim distributions under a mark-to-market income tax</w:t>
      </w:r>
      <w:r w:rsidR="00564741">
        <w:rPr>
          <w:rFonts w:ascii="Century Schoolbook" w:eastAsia="Century Schoolbook" w:hAnsi="Century Schoolbook" w:cs="Century Schoolbook"/>
        </w:rPr>
        <w:t xml:space="preserve"> reform</w:t>
      </w:r>
      <w:r w:rsidRPr="009F549F">
        <w:rPr>
          <w:rFonts w:eastAsia="Century Schoolbook"/>
        </w:rPr>
        <w:t xml:space="preserve">. Again, </w:t>
      </w:r>
      <w:r w:rsidR="00564741">
        <w:rPr>
          <w:rFonts w:ascii="Century Schoolbook" w:eastAsia="Century Schoolbook" w:hAnsi="Century Schoolbook" w:cs="Century Schoolbook"/>
        </w:rPr>
        <w:t xml:space="preserve">our </w:t>
      </w:r>
      <w:r w:rsidRPr="009F549F">
        <w:rPr>
          <w:rFonts w:eastAsia="Century Schoolbook"/>
        </w:rPr>
        <w:t xml:space="preserve">basic proposal is that each year </w:t>
      </w:r>
      <w:r>
        <w:rPr>
          <w:rFonts w:ascii="Century Schoolbook" w:eastAsia="Century Schoolbook" w:hAnsi="Century Schoolbook" w:cs="Century Schoolbook"/>
        </w:rPr>
        <w:t>a</w:t>
      </w:r>
      <w:r w:rsidR="00052BB3">
        <w:rPr>
          <w:rFonts w:ascii="Century Schoolbook" w:eastAsia="Century Schoolbook" w:hAnsi="Century Schoolbook" w:cs="Century Schoolbook"/>
        </w:rPr>
        <w:t xml:space="preserve">n </w:t>
      </w:r>
      <w:r w:rsidR="00616C6E">
        <w:rPr>
          <w:rFonts w:ascii="Century Schoolbook" w:eastAsia="Century Schoolbook" w:hAnsi="Century Schoolbook" w:cs="Century Schoolbook"/>
        </w:rPr>
        <w:t>applicable</w:t>
      </w:r>
      <w:r w:rsidRPr="009F549F">
        <w:rPr>
          <w:rFonts w:eastAsia="Century Schoolbook"/>
        </w:rPr>
        <w:t xml:space="preserve"> taxpayer’s assets </w:t>
      </w:r>
      <w:r w:rsidR="00052BB3">
        <w:rPr>
          <w:rFonts w:ascii="Century Schoolbook" w:eastAsia="Century Schoolbook" w:hAnsi="Century Schoolbook" w:cs="Century Schoolbook"/>
        </w:rPr>
        <w:t xml:space="preserve">would </w:t>
      </w:r>
      <w:r w:rsidRPr="009F549F">
        <w:rPr>
          <w:rFonts w:eastAsia="Century Schoolbook"/>
        </w:rPr>
        <w:t>become subject to an ULTRA equal to the prevailing top marginal tax rate on investments times a deemed rate of return.</w:t>
      </w:r>
      <w:r w:rsidRPr="009F549F">
        <w:rPr>
          <w:rFonts w:eastAsia="Century Schoolbook"/>
          <w:vertAlign w:val="superscript"/>
        </w:rPr>
        <w:footnoteReference w:id="354"/>
      </w:r>
      <w:r w:rsidRPr="009F549F">
        <w:rPr>
          <w:rFonts w:eastAsia="Century Schoolbook"/>
        </w:rPr>
        <w:t xml:space="preserve"> Then, at the time of the sale of </w:t>
      </w:r>
      <w:r w:rsidR="00052BB3">
        <w:rPr>
          <w:rFonts w:ascii="Century Schoolbook" w:eastAsia="Century Schoolbook" w:hAnsi="Century Schoolbook" w:cs="Century Schoolbook"/>
        </w:rPr>
        <w:t xml:space="preserve">all of </w:t>
      </w:r>
      <w:r w:rsidRPr="009F549F">
        <w:rPr>
          <w:rFonts w:eastAsia="Century Schoolbook"/>
        </w:rPr>
        <w:t xml:space="preserve">the assets or other resolution of the ULTRA, the taxpayer’s results </w:t>
      </w:r>
      <w:r w:rsidR="00052BB3">
        <w:rPr>
          <w:rFonts w:ascii="Century Schoolbook" w:eastAsia="Century Schoolbook" w:hAnsi="Century Schoolbook" w:cs="Century Schoolbook"/>
        </w:rPr>
        <w:t xml:space="preserve">would be </w:t>
      </w:r>
      <w:r w:rsidRPr="009F549F">
        <w:rPr>
          <w:rFonts w:eastAsia="Century Schoolbook"/>
        </w:rPr>
        <w:t>“trued up” to their actual rate of return using a retrospective formula. As we discussed previously, fully analyzing which retrospective formula should be used is beyond the scope of this Article, but we tentatively recommend the Land formula</w:t>
      </w:r>
      <w:r w:rsidR="002D1D11">
        <w:rPr>
          <w:rFonts w:ascii="Century Schoolbook" w:eastAsia="Century Schoolbook" w:hAnsi="Century Schoolbook" w:cs="Century Schoolbook"/>
        </w:rPr>
        <w:t xml:space="preserve"> (though perhaps combined with some guardrails </w:t>
      </w:r>
      <w:r w:rsidR="00D43CE2">
        <w:rPr>
          <w:rFonts w:ascii="Century Schoolbook" w:eastAsia="Century Schoolbook" w:hAnsi="Century Schoolbook" w:cs="Century Schoolbook"/>
        </w:rPr>
        <w:t>and/</w:t>
      </w:r>
      <w:r w:rsidR="002D1D11">
        <w:rPr>
          <w:rFonts w:ascii="Century Schoolbook" w:eastAsia="Century Schoolbook" w:hAnsi="Century Schoolbook" w:cs="Century Schoolbook"/>
        </w:rPr>
        <w:t>or alternative equitable adjustment methodologies)</w:t>
      </w:r>
      <w:r w:rsidR="00052BB3">
        <w:rPr>
          <w:rFonts w:ascii="Century Schoolbook" w:eastAsia="Century Schoolbook" w:hAnsi="Century Schoolbook" w:cs="Century Schoolbook"/>
        </w:rPr>
        <w:t>, which is</w:t>
      </w:r>
      <w:r w:rsidRPr="009F549F">
        <w:rPr>
          <w:rFonts w:eastAsia="Century Schoolbook"/>
        </w:rPr>
        <w:t>:</w:t>
      </w:r>
    </w:p>
    <w:p w14:paraId="11B3752F" w14:textId="7EC57C33" w:rsidR="007B1344" w:rsidRPr="009F549F" w:rsidRDefault="002347BA">
      <w:pPr>
        <w:spacing w:before="240" w:after="240"/>
        <w:ind w:firstLine="720"/>
        <w:jc w:val="both"/>
        <w:rPr>
          <w:rFonts w:eastAsia="Century Schoolbook"/>
        </w:rPr>
      </w:pPr>
      <w:r w:rsidRPr="009F549F">
        <w:rPr>
          <w:rFonts w:eastAsia="Century Schoolbook"/>
        </w:rPr>
        <w:t xml:space="preserve">Tax Due = </w:t>
      </w:r>
      <w:proofErr w:type="spellStart"/>
      <w:proofErr w:type="gramStart"/>
      <w:r w:rsidRPr="009F549F">
        <w:rPr>
          <w:rFonts w:eastAsia="Century Schoolbook"/>
          <w:i/>
        </w:rPr>
        <w:t>S</w:t>
      </w:r>
      <w:r w:rsidRPr="009F549F">
        <w:rPr>
          <w:rFonts w:eastAsia="Century Schoolbook"/>
          <w:i/>
          <w:vertAlign w:val="subscript"/>
        </w:rPr>
        <w:t>p</w:t>
      </w:r>
      <w:proofErr w:type="spellEnd"/>
      <w:r w:rsidRPr="009F549F">
        <w:rPr>
          <w:rFonts w:eastAsia="Century Schoolbook"/>
        </w:rPr>
        <w:t>(</w:t>
      </w:r>
      <w:proofErr w:type="gramEnd"/>
      <w:r w:rsidRPr="009F549F">
        <w:rPr>
          <w:rFonts w:eastAsia="Century Schoolbook"/>
        </w:rPr>
        <w:t xml:space="preserve">1 </w:t>
      </w:r>
      <w:r w:rsidR="00DD5B16">
        <w:rPr>
          <w:rFonts w:eastAsia="Century Schoolbook"/>
        </w:rPr>
        <w:t>−</w:t>
      </w:r>
      <w:r w:rsidRPr="009F549F">
        <w:rPr>
          <w:rFonts w:eastAsia="Century Schoolbook"/>
        </w:rPr>
        <w:t xml:space="preserve"> (</w:t>
      </w:r>
      <w:proofErr w:type="spellStart"/>
      <w:r w:rsidRPr="009F549F">
        <w:rPr>
          <w:rFonts w:eastAsia="Century Schoolbook"/>
          <w:i/>
        </w:rPr>
        <w:t>S</w:t>
      </w:r>
      <w:r w:rsidRPr="009F549F">
        <w:rPr>
          <w:rFonts w:eastAsia="Century Schoolbook"/>
          <w:i/>
          <w:vertAlign w:val="subscript"/>
        </w:rPr>
        <w:t>p</w:t>
      </w:r>
      <w:proofErr w:type="spellEnd"/>
      <w:r w:rsidRPr="009F549F">
        <w:rPr>
          <w:rFonts w:eastAsia="Century Schoolbook"/>
        </w:rPr>
        <w:t>/</w:t>
      </w:r>
      <w:r w:rsidRPr="009F549F">
        <w:rPr>
          <w:rFonts w:eastAsia="Century Schoolbook"/>
          <w:i/>
        </w:rPr>
        <w:t>P</w:t>
      </w:r>
      <w:r w:rsidRPr="009F549F">
        <w:rPr>
          <w:rFonts w:eastAsia="Century Schoolbook"/>
        </w:rPr>
        <w:t>)</w:t>
      </w:r>
      <w:r w:rsidRPr="009F549F">
        <w:rPr>
          <w:rFonts w:eastAsia="Century Schoolbook"/>
          <w:vertAlign w:val="superscript"/>
        </w:rPr>
        <w:t>-</w:t>
      </w:r>
      <w:r w:rsidRPr="009F549F">
        <w:rPr>
          <w:rFonts w:eastAsia="Century Schoolbook"/>
          <w:i/>
          <w:vertAlign w:val="superscript"/>
        </w:rPr>
        <w:t>t</w:t>
      </w:r>
      <w:r w:rsidRPr="009F549F">
        <w:rPr>
          <w:rFonts w:eastAsia="Century Schoolbook"/>
        </w:rPr>
        <w:t xml:space="preserve">) </w:t>
      </w:r>
      <w:r w:rsidRPr="009F549F">
        <w:rPr>
          <w:rFonts w:eastAsia="Century Schoolbook"/>
        </w:rPr>
        <w:tab/>
      </w:r>
      <w:r w:rsidRPr="009F549F">
        <w:rPr>
          <w:rFonts w:eastAsia="Century Schoolbook"/>
        </w:rPr>
        <w:tab/>
      </w:r>
      <w:r w:rsidRPr="009F549F">
        <w:rPr>
          <w:rFonts w:eastAsia="Century Schoolbook"/>
        </w:rPr>
        <w:tab/>
      </w:r>
      <w:r w:rsidRPr="009F549F">
        <w:rPr>
          <w:rFonts w:eastAsia="Century Schoolbook"/>
        </w:rPr>
        <w:tab/>
      </w:r>
      <w:r w:rsidRPr="009F549F">
        <w:rPr>
          <w:rFonts w:eastAsia="Century Schoolbook"/>
        </w:rPr>
        <w:tab/>
      </w:r>
      <w:r w:rsidRPr="009F549F">
        <w:rPr>
          <w:rFonts w:eastAsia="Century Schoolbook"/>
        </w:rPr>
        <w:tab/>
        <w:t>(Eq. 1)</w:t>
      </w:r>
    </w:p>
    <w:p w14:paraId="2CA33A3B" w14:textId="5C41802E" w:rsidR="007B1344" w:rsidRPr="009F549F" w:rsidRDefault="002347BA">
      <w:pPr>
        <w:spacing w:before="240" w:after="240"/>
        <w:jc w:val="both"/>
        <w:rPr>
          <w:rFonts w:eastAsia="Century Schoolbook"/>
        </w:rPr>
      </w:pPr>
      <w:r w:rsidRPr="009F549F">
        <w:rPr>
          <w:rFonts w:eastAsia="Century Schoolbook"/>
        </w:rPr>
        <w:t xml:space="preserve">where </w:t>
      </w:r>
      <w:proofErr w:type="spellStart"/>
      <w:r w:rsidRPr="009F549F">
        <w:rPr>
          <w:rFonts w:eastAsia="Century Schoolbook"/>
          <w:i/>
        </w:rPr>
        <w:t>S</w:t>
      </w:r>
      <w:r w:rsidRPr="009F549F">
        <w:rPr>
          <w:rFonts w:eastAsia="Century Schoolbook"/>
          <w:i/>
          <w:vertAlign w:val="subscript"/>
        </w:rPr>
        <w:t>p</w:t>
      </w:r>
      <w:proofErr w:type="spellEnd"/>
      <w:r w:rsidRPr="009F549F">
        <w:rPr>
          <w:rFonts w:eastAsia="Century Schoolbook"/>
        </w:rPr>
        <w:t xml:space="preserve"> is the pre-tax sales price, </w:t>
      </w:r>
      <w:r w:rsidRPr="009F549F">
        <w:rPr>
          <w:rFonts w:eastAsia="Century Schoolbook"/>
          <w:i/>
        </w:rPr>
        <w:t>P</w:t>
      </w:r>
      <w:r w:rsidRPr="009F549F">
        <w:rPr>
          <w:rFonts w:eastAsia="Century Schoolbook"/>
        </w:rPr>
        <w:t xml:space="preserve"> is the </w:t>
      </w:r>
      <w:r w:rsidRPr="00036097">
        <w:rPr>
          <w:rFonts w:eastAsia="Century Schoolbook"/>
        </w:rPr>
        <w:t>assets</w:t>
      </w:r>
      <w:r w:rsidR="00DD5B16">
        <w:rPr>
          <w:rFonts w:eastAsia="Century Schoolbook"/>
        </w:rPr>
        <w:t>’</w:t>
      </w:r>
      <w:r w:rsidRPr="009F549F">
        <w:rPr>
          <w:rFonts w:eastAsia="Century Schoolbook"/>
        </w:rPr>
        <w:t xml:space="preserve"> basis, and </w:t>
      </w:r>
      <w:r w:rsidRPr="009F549F">
        <w:rPr>
          <w:rFonts w:eastAsia="Century Schoolbook"/>
          <w:i/>
        </w:rPr>
        <w:t>t</w:t>
      </w:r>
      <w:r w:rsidRPr="009F549F">
        <w:rPr>
          <w:rFonts w:eastAsia="Century Schoolbook"/>
        </w:rPr>
        <w:t xml:space="preserve"> is the (absolute value of the) applicable tax rate. </w:t>
      </w:r>
    </w:p>
    <w:p w14:paraId="0CFDBF14" w14:textId="09968C00" w:rsidR="007B1344" w:rsidRPr="009F549F" w:rsidRDefault="002347BA">
      <w:pPr>
        <w:spacing w:before="240" w:after="240"/>
        <w:ind w:firstLine="720"/>
        <w:jc w:val="both"/>
        <w:rPr>
          <w:rFonts w:eastAsia="Century Schoolbook"/>
        </w:rPr>
      </w:pPr>
      <w:r w:rsidRPr="009F549F">
        <w:rPr>
          <w:rFonts w:eastAsia="Century Schoolbook"/>
        </w:rPr>
        <w:t xml:space="preserve">The main text refers readers to this </w:t>
      </w:r>
      <w:r w:rsidR="005D3EBB">
        <w:rPr>
          <w:rFonts w:eastAsia="Century Schoolbook"/>
        </w:rPr>
        <w:t>A</w:t>
      </w:r>
      <w:r w:rsidRPr="00036097">
        <w:rPr>
          <w:rFonts w:eastAsia="Century Schoolbook"/>
        </w:rPr>
        <w:t>ppendix</w:t>
      </w:r>
      <w:r w:rsidRPr="009F549F">
        <w:rPr>
          <w:rFonts w:eastAsia="Century Schoolbook"/>
        </w:rPr>
        <w:t xml:space="preserve"> for further details on our treatment of assets with interim payments. The availability of an ULTRA greatly simplifies the calculations otherwise required by Land’s method. We propose that when interim payments are made</w:t>
      </w:r>
      <w:r w:rsidR="00DD5B16">
        <w:rPr>
          <w:rFonts w:eastAsia="Century Schoolbook"/>
        </w:rPr>
        <w:t>,</w:t>
      </w:r>
      <w:r w:rsidRPr="009F549F">
        <w:rPr>
          <w:rFonts w:eastAsia="Century Schoolbook"/>
        </w:rPr>
        <w:t xml:space="preserve"> the taxpayer </w:t>
      </w:r>
      <w:r w:rsidR="0060792C">
        <w:rPr>
          <w:rFonts w:eastAsia="Century Schoolbook"/>
        </w:rPr>
        <w:t>be</w:t>
      </w:r>
      <w:r w:rsidRPr="009F549F">
        <w:rPr>
          <w:rFonts w:eastAsia="Century Schoolbook"/>
        </w:rPr>
        <w:t xml:space="preserve"> treated as settling a portion of the ULTRA</w:t>
      </w:r>
      <w:r w:rsidR="0060792C">
        <w:rPr>
          <w:rFonts w:eastAsia="Century Schoolbook"/>
        </w:rPr>
        <w:t xml:space="preserve"> </w:t>
      </w:r>
      <w:r w:rsidRPr="009F549F">
        <w:rPr>
          <w:rFonts w:eastAsia="Century Schoolbook"/>
        </w:rPr>
        <w:t xml:space="preserve">equal to the amount of </w:t>
      </w:r>
      <w:r w:rsidR="0060792C">
        <w:rPr>
          <w:rFonts w:eastAsia="Century Schoolbook"/>
        </w:rPr>
        <w:t xml:space="preserve">the </w:t>
      </w:r>
      <w:r w:rsidRPr="009F549F">
        <w:rPr>
          <w:rFonts w:eastAsia="Century Schoolbook"/>
        </w:rPr>
        <w:t>interim payout</w:t>
      </w:r>
      <w:r>
        <w:rPr>
          <w:rFonts w:ascii="Century Schoolbook" w:eastAsia="Century Schoolbook" w:hAnsi="Century Schoolbook" w:cs="Century Schoolbook"/>
        </w:rPr>
        <w:t xml:space="preserve"> </w:t>
      </w:r>
      <w:r w:rsidR="00D43CE2">
        <w:rPr>
          <w:rFonts w:ascii="Century Schoolbook" w:eastAsia="Century Schoolbook" w:hAnsi="Century Schoolbook" w:cs="Century Schoolbook"/>
        </w:rPr>
        <w:t>(</w:t>
      </w:r>
      <w:r w:rsidR="00A4219C">
        <w:rPr>
          <w:rFonts w:ascii="Century Schoolbook" w:eastAsia="Century Schoolbook" w:hAnsi="Century Schoolbook" w:cs="Century Schoolbook"/>
        </w:rPr>
        <w:t>but</w:t>
      </w:r>
      <w:r w:rsidRPr="009F549F">
        <w:rPr>
          <w:rFonts w:eastAsia="Century Schoolbook"/>
        </w:rPr>
        <w:t xml:space="preserve"> taxes due could be capped at some share of the interim payment, such as perhaps </w:t>
      </w:r>
      <w:r w:rsidR="00C75CF1">
        <w:rPr>
          <w:rFonts w:ascii="Century Schoolbook" w:eastAsia="Century Schoolbook" w:hAnsi="Century Schoolbook" w:cs="Century Schoolbook"/>
        </w:rPr>
        <w:t>5</w:t>
      </w:r>
      <w:r>
        <w:rPr>
          <w:rFonts w:ascii="Century Schoolbook" w:eastAsia="Century Schoolbook" w:hAnsi="Century Schoolbook" w:cs="Century Schoolbook"/>
        </w:rPr>
        <w:t>0</w:t>
      </w:r>
      <w:r w:rsidR="000109A1" w:rsidRPr="00036097">
        <w:rPr>
          <w:rFonts w:eastAsia="Century Schoolbook"/>
        </w:rPr>
        <w:t xml:space="preserve"> percent</w:t>
      </w:r>
      <w:r w:rsidR="00616C6E">
        <w:rPr>
          <w:rFonts w:eastAsia="Century Schoolbook"/>
        </w:rPr>
        <w:t>)</w:t>
      </w:r>
      <w:r w:rsidRPr="00036097">
        <w:rPr>
          <w:rFonts w:eastAsia="Century Schoolbook"/>
        </w:rPr>
        <w:t>.</w:t>
      </w:r>
      <w:r w:rsidRPr="009F549F">
        <w:rPr>
          <w:rFonts w:eastAsia="Century Schoolbook"/>
        </w:rPr>
        <w:t xml:space="preserve"> For example, if there is a 10</w:t>
      </w:r>
      <w:r w:rsidR="000109A1" w:rsidRPr="00036097">
        <w:rPr>
          <w:rFonts w:eastAsia="Century Schoolbook"/>
        </w:rPr>
        <w:t xml:space="preserve"> percent</w:t>
      </w:r>
      <w:r w:rsidRPr="009F549F">
        <w:rPr>
          <w:rFonts w:eastAsia="Century Schoolbook"/>
        </w:rPr>
        <w:t xml:space="preserve"> ULTRA in place and a $</w:t>
      </w:r>
      <w:r w:rsidRPr="00036097">
        <w:rPr>
          <w:rFonts w:eastAsia="Century Schoolbook"/>
        </w:rPr>
        <w:t>1</w:t>
      </w:r>
      <w:r w:rsidR="000109A1" w:rsidRPr="00036097">
        <w:rPr>
          <w:rFonts w:eastAsia="Century Schoolbook"/>
        </w:rPr>
        <w:t xml:space="preserve"> million</w:t>
      </w:r>
      <w:r w:rsidRPr="009F549F">
        <w:rPr>
          <w:rFonts w:eastAsia="Century Schoolbook"/>
        </w:rPr>
        <w:t xml:space="preserve"> interim payout, </w:t>
      </w:r>
      <w:r w:rsidR="0060792C" w:rsidRPr="009F549F">
        <w:rPr>
          <w:rFonts w:eastAsia="Century Schoolbook"/>
        </w:rPr>
        <w:t xml:space="preserve">the </w:t>
      </w:r>
      <w:r w:rsidRPr="009F549F">
        <w:rPr>
          <w:rFonts w:eastAsia="Century Schoolbook"/>
        </w:rPr>
        <w:t xml:space="preserve">taxpayer </w:t>
      </w:r>
      <w:r w:rsidR="00052BB3">
        <w:rPr>
          <w:rFonts w:ascii="Century Schoolbook" w:eastAsia="Century Schoolbook" w:hAnsi="Century Schoolbook" w:cs="Century Schoolbook"/>
        </w:rPr>
        <w:t xml:space="preserve">would </w:t>
      </w:r>
      <w:r w:rsidR="0060792C">
        <w:rPr>
          <w:rFonts w:eastAsia="Century Schoolbook"/>
        </w:rPr>
        <w:t>owe</w:t>
      </w:r>
      <w:r w:rsidRPr="009F549F">
        <w:rPr>
          <w:rFonts w:eastAsia="Century Schoolbook"/>
        </w:rPr>
        <w:t xml:space="preserve"> $100,000 in tax. Since our proposal is limited to top-bracket taxpayers, we </w:t>
      </w:r>
      <w:r w:rsidR="00616C6E">
        <w:rPr>
          <w:rFonts w:eastAsia="Century Schoolbook"/>
        </w:rPr>
        <w:t>sh</w:t>
      </w:r>
      <w:r w:rsidRPr="009F549F">
        <w:rPr>
          <w:rFonts w:eastAsia="Century Schoolbook"/>
        </w:rPr>
        <w:t xml:space="preserve">ould not need to worry about progressive rate structures. But if the top marginal rate changes over time, the applicable tax rate for calculating the ULTRA should be the rolling average of the rates prevailing during the holding period. </w:t>
      </w:r>
    </w:p>
    <w:p w14:paraId="157185D1" w14:textId="18DF5577" w:rsidR="009E0F63" w:rsidRDefault="002347BA" w:rsidP="009E0F63">
      <w:pPr>
        <w:spacing w:before="240" w:after="240"/>
        <w:ind w:firstLine="720"/>
        <w:jc w:val="both"/>
        <w:rPr>
          <w:rFonts w:ascii="Century Schoolbook" w:eastAsia="Century Schoolbook" w:hAnsi="Century Schoolbook" w:cs="Century Schoolbook"/>
        </w:rPr>
      </w:pPr>
      <w:r w:rsidRPr="009F549F">
        <w:rPr>
          <w:rFonts w:eastAsia="Century Schoolbook"/>
        </w:rPr>
        <w:lastRenderedPageBreak/>
        <w:t xml:space="preserve">To maintain full neutrality with regard to the timing of sales, prepayments should reduce the sale price used in computing </w:t>
      </w:r>
      <w:r w:rsidRPr="00036097">
        <w:rPr>
          <w:rFonts w:eastAsia="Century Schoolbook"/>
        </w:rPr>
        <w:t>Land</w:t>
      </w:r>
      <w:r w:rsidR="001C162E">
        <w:rPr>
          <w:rFonts w:eastAsia="Century Schoolbook"/>
        </w:rPr>
        <w:t>’</w:t>
      </w:r>
      <w:r w:rsidRPr="00036097">
        <w:rPr>
          <w:rFonts w:eastAsia="Century Schoolbook"/>
        </w:rPr>
        <w:t>s</w:t>
      </w:r>
      <w:r w:rsidRPr="009F549F">
        <w:rPr>
          <w:rFonts w:eastAsia="Century Schoolbook"/>
        </w:rPr>
        <w:t xml:space="preserve"> formula. This is because if the government is going to hold </w:t>
      </w:r>
      <w:r w:rsidR="0060792C">
        <w:rPr>
          <w:rFonts w:eastAsia="Century Schoolbook"/>
        </w:rPr>
        <w:t xml:space="preserve">a </w:t>
      </w:r>
      <w:r w:rsidRPr="00036097">
        <w:rPr>
          <w:rFonts w:eastAsia="Century Schoolbook"/>
        </w:rPr>
        <w:t>taxpayer</w:t>
      </w:r>
      <w:r w:rsidR="0060792C">
        <w:rPr>
          <w:rFonts w:eastAsia="Century Schoolbook"/>
        </w:rPr>
        <w:t>’</w:t>
      </w:r>
      <w:r w:rsidRPr="00036097">
        <w:rPr>
          <w:rFonts w:eastAsia="Century Schoolbook"/>
        </w:rPr>
        <w:t>s</w:t>
      </w:r>
      <w:r w:rsidRPr="009F549F">
        <w:rPr>
          <w:rFonts w:eastAsia="Century Schoolbook"/>
        </w:rPr>
        <w:t xml:space="preserve"> prepayments until sale, the government must pay interest at the </w:t>
      </w:r>
      <w:r w:rsidRPr="00036097">
        <w:rPr>
          <w:rFonts w:eastAsia="Century Schoolbook"/>
        </w:rPr>
        <w:t>taxpayer</w:t>
      </w:r>
      <w:r w:rsidR="0060792C">
        <w:rPr>
          <w:rFonts w:eastAsia="Century Schoolbook"/>
        </w:rPr>
        <w:t>’</w:t>
      </w:r>
      <w:r w:rsidRPr="00036097">
        <w:rPr>
          <w:rFonts w:eastAsia="Century Schoolbook"/>
        </w:rPr>
        <w:t>s</w:t>
      </w:r>
      <w:r w:rsidRPr="009F549F">
        <w:rPr>
          <w:rFonts w:eastAsia="Century Schoolbook"/>
        </w:rPr>
        <w:t xml:space="preserve"> internal rate of return, otherwise taxpayers could have an incentive to sell quickly in order to claim </w:t>
      </w:r>
      <w:r w:rsidR="0060792C">
        <w:rPr>
          <w:rFonts w:eastAsia="Century Schoolbook"/>
        </w:rPr>
        <w:t>their</w:t>
      </w:r>
      <w:r w:rsidRPr="009F549F">
        <w:rPr>
          <w:rFonts w:eastAsia="Century Schoolbook"/>
        </w:rPr>
        <w:t xml:space="preserve"> (potential) rebate. Luckily, this is easy to implement. A prepayment is the equivalent of a negative dividend (or, even more simply, we can define a distribution from an ULTRA account as the net amount after any tax prepayments required as a result of the distribution). At the time of sale, the sale price would thus be reduced by the amount of any prepayments.</w:t>
      </w:r>
      <w:r w:rsidRPr="009F549F">
        <w:rPr>
          <w:rFonts w:eastAsia="Century Schoolbook"/>
          <w:vertAlign w:val="superscript"/>
        </w:rPr>
        <w:footnoteReference w:id="355"/>
      </w:r>
      <w:r w:rsidRPr="009F549F">
        <w:rPr>
          <w:rFonts w:eastAsia="Century Schoolbook"/>
        </w:rPr>
        <w:t xml:space="preserve"> This reflects only the interest the government pays on the prepayment, so taxpayers would also get a credit </w:t>
      </w:r>
      <w:r w:rsidR="0009255D">
        <w:rPr>
          <w:rFonts w:eastAsia="Century Schoolbook"/>
        </w:rPr>
        <w:t xml:space="preserve">against their tax due </w:t>
      </w:r>
      <w:r w:rsidRPr="009F549F">
        <w:rPr>
          <w:rFonts w:eastAsia="Century Schoolbook"/>
        </w:rPr>
        <w:t>in the amount of the actual prepayment.</w:t>
      </w:r>
      <w:r w:rsidR="009E0F63">
        <w:rPr>
          <w:rFonts w:ascii="Century Schoolbook" w:eastAsia="Century Schoolbook" w:hAnsi="Century Schoolbook" w:cs="Century Schoolbook"/>
        </w:rPr>
        <w:t xml:space="preserve"> If we let </w:t>
      </w:r>
      <w:r w:rsidR="009E0F63" w:rsidRPr="009F549F">
        <w:rPr>
          <w:rFonts w:ascii="Century Schoolbook" w:eastAsia="Century Schoolbook" w:hAnsi="Century Schoolbook" w:cs="Century Schoolbook"/>
          <w:i/>
        </w:rPr>
        <w:t>W</w:t>
      </w:r>
      <w:r w:rsidR="009E0F63">
        <w:rPr>
          <w:rFonts w:ascii="Century Schoolbook" w:eastAsia="Century Schoolbook" w:hAnsi="Century Schoolbook" w:cs="Century Schoolbook"/>
        </w:rPr>
        <w:t xml:space="preserve"> equal the prepayment or withholding amount, then Equation 2 gives the revised calculation:</w:t>
      </w:r>
    </w:p>
    <w:p w14:paraId="7D982D57" w14:textId="62C3284B" w:rsidR="007B1344" w:rsidRPr="009F549F" w:rsidRDefault="009E0F63">
      <w:pPr>
        <w:spacing w:before="240" w:after="240"/>
        <w:ind w:firstLine="720"/>
        <w:jc w:val="both"/>
        <w:rPr>
          <w:rFonts w:eastAsia="Century Schoolbook"/>
        </w:rPr>
      </w:pPr>
      <w:r>
        <w:rPr>
          <w:rFonts w:ascii="Century Schoolbook" w:eastAsia="Century Schoolbook" w:hAnsi="Century Schoolbook" w:cs="Century Schoolbook"/>
        </w:rPr>
        <w:t>Tax Due = [</w:t>
      </w:r>
      <w:proofErr w:type="spellStart"/>
      <w:r>
        <w:rPr>
          <w:rFonts w:ascii="Century Schoolbook" w:eastAsia="Century Schoolbook" w:hAnsi="Century Schoolbook" w:cs="Century Schoolbook"/>
          <w:i/>
        </w:rPr>
        <w:t>S</w:t>
      </w:r>
      <w:r>
        <w:rPr>
          <w:rFonts w:ascii="Century Schoolbook" w:eastAsia="Century Schoolbook" w:hAnsi="Century Schoolbook" w:cs="Century Schoolbook"/>
          <w:i/>
          <w:vertAlign w:val="subscript"/>
        </w:rPr>
        <w:t>p</w:t>
      </w:r>
      <w:proofErr w:type="spellEnd"/>
      <w:r>
        <w:rPr>
          <w:rFonts w:ascii="Century Schoolbook" w:eastAsia="Century Schoolbook" w:hAnsi="Century Schoolbook" w:cs="Century Schoolbook"/>
          <w:i/>
          <w:vertAlign w:val="subscript"/>
        </w:rPr>
        <w:t xml:space="preserve"> </w:t>
      </w:r>
      <w:r>
        <w:rPr>
          <w:rFonts w:ascii="Century Schoolbook" w:eastAsia="Century Schoolbook" w:hAnsi="Century Schoolbook" w:cs="Century Schoolbook"/>
          <w:i/>
        </w:rPr>
        <w:t>–</w:t>
      </w:r>
      <w:r>
        <w:rPr>
          <w:rFonts w:ascii="Century Schoolbook" w:eastAsia="Century Schoolbook" w:hAnsi="Century Schoolbook" w:cs="Century Schoolbook"/>
        </w:rPr>
        <w:t xml:space="preserve"> </w:t>
      </w:r>
      <w:proofErr w:type="gramStart"/>
      <w:r w:rsidRPr="009F549F">
        <w:rPr>
          <w:rFonts w:ascii="Century Schoolbook" w:eastAsia="Century Schoolbook" w:hAnsi="Century Schoolbook" w:cs="Century Schoolbook"/>
          <w:i/>
        </w:rPr>
        <w:t>W</w:t>
      </w:r>
      <w:r>
        <w:rPr>
          <w:rFonts w:ascii="Century Schoolbook" w:eastAsia="Century Schoolbook" w:hAnsi="Century Schoolbook" w:cs="Century Schoolbook"/>
        </w:rPr>
        <w:t>](</w:t>
      </w:r>
      <w:proofErr w:type="gramEnd"/>
      <w:r>
        <w:rPr>
          <w:rFonts w:ascii="Century Schoolbook" w:eastAsia="Century Schoolbook" w:hAnsi="Century Schoolbook" w:cs="Century Schoolbook"/>
        </w:rPr>
        <w:t xml:space="preserve">1 </w:t>
      </w:r>
      <w:r>
        <w:rPr>
          <w:rFonts w:ascii="Century Schoolbook" w:eastAsia="Century Schoolbook" w:hAnsi="Century Schoolbook" w:cs="Century Schoolbook"/>
          <w:i/>
        </w:rPr>
        <w:t>–</w:t>
      </w:r>
      <w:r>
        <w:rPr>
          <w:rFonts w:ascii="Century Schoolbook" w:eastAsia="Century Schoolbook" w:hAnsi="Century Schoolbook" w:cs="Century Schoolbook"/>
        </w:rPr>
        <w:t xml:space="preserve"> ([</w:t>
      </w:r>
      <w:proofErr w:type="spellStart"/>
      <w:r>
        <w:rPr>
          <w:rFonts w:ascii="Century Schoolbook" w:eastAsia="Century Schoolbook" w:hAnsi="Century Schoolbook" w:cs="Century Schoolbook"/>
          <w:i/>
        </w:rPr>
        <w:t>S</w:t>
      </w:r>
      <w:r>
        <w:rPr>
          <w:rFonts w:ascii="Century Schoolbook" w:eastAsia="Century Schoolbook" w:hAnsi="Century Schoolbook" w:cs="Century Schoolbook"/>
          <w:i/>
          <w:vertAlign w:val="subscript"/>
        </w:rPr>
        <w:t>p</w:t>
      </w:r>
      <w:proofErr w:type="spellEnd"/>
      <w:r>
        <w:rPr>
          <w:rFonts w:ascii="Century Schoolbook" w:eastAsia="Century Schoolbook" w:hAnsi="Century Schoolbook" w:cs="Century Schoolbook"/>
          <w:i/>
          <w:vertAlign w:val="subscript"/>
        </w:rPr>
        <w:t xml:space="preserve"> </w:t>
      </w:r>
      <w:r>
        <w:rPr>
          <w:rFonts w:ascii="Century Schoolbook" w:eastAsia="Century Schoolbook" w:hAnsi="Century Schoolbook" w:cs="Century Schoolbook"/>
          <w:i/>
        </w:rPr>
        <w:t xml:space="preserve">– </w:t>
      </w:r>
      <w:r w:rsidRPr="0009255D">
        <w:rPr>
          <w:rFonts w:ascii="Century Schoolbook" w:eastAsia="Century Schoolbook" w:hAnsi="Century Schoolbook" w:cs="Century Schoolbook"/>
          <w:i/>
        </w:rPr>
        <w:t>W</w:t>
      </w:r>
      <w:r w:rsidRPr="00A066BA">
        <w:rPr>
          <w:rFonts w:ascii="Century Schoolbook" w:eastAsia="Century Schoolbook" w:hAnsi="Century Schoolbook" w:cs="Century Schoolbook"/>
        </w:rPr>
        <w:t>]</w:t>
      </w:r>
      <w:r>
        <w:rPr>
          <w:rFonts w:ascii="Century Schoolbook" w:eastAsia="Century Schoolbook" w:hAnsi="Century Schoolbook" w:cs="Century Schoolbook"/>
        </w:rPr>
        <w:t>/</w:t>
      </w:r>
      <w:r>
        <w:rPr>
          <w:rFonts w:ascii="Century Schoolbook" w:eastAsia="Century Schoolbook" w:hAnsi="Century Schoolbook" w:cs="Century Schoolbook"/>
          <w:i/>
        </w:rPr>
        <w:t>P</w:t>
      </w:r>
      <w:r>
        <w:rPr>
          <w:rFonts w:ascii="Century Schoolbook" w:eastAsia="Century Schoolbook" w:hAnsi="Century Schoolbook" w:cs="Century Schoolbook"/>
        </w:rPr>
        <w:t>)</w:t>
      </w:r>
      <w:r>
        <w:rPr>
          <w:rFonts w:ascii="Century Schoolbook" w:eastAsia="Century Schoolbook" w:hAnsi="Century Schoolbook" w:cs="Century Schoolbook"/>
          <w:vertAlign w:val="superscript"/>
        </w:rPr>
        <w:t>-</w:t>
      </w:r>
      <w:r>
        <w:rPr>
          <w:rFonts w:ascii="Century Schoolbook" w:eastAsia="Century Schoolbook" w:hAnsi="Century Schoolbook" w:cs="Century Schoolbook"/>
          <w:i/>
          <w:vertAlign w:val="superscript"/>
        </w:rPr>
        <w:t>t</w:t>
      </w:r>
      <w:r>
        <w:rPr>
          <w:rFonts w:ascii="Century Schoolbook" w:eastAsia="Century Schoolbook" w:hAnsi="Century Schoolbook" w:cs="Century Schoolbook"/>
        </w:rPr>
        <w:t xml:space="preserve">) </w:t>
      </w:r>
      <w:r>
        <w:rPr>
          <w:rFonts w:ascii="Century Schoolbook" w:eastAsia="Century Schoolbook" w:hAnsi="Century Schoolbook" w:cs="Century Schoolbook"/>
        </w:rPr>
        <w:tab/>
      </w:r>
      <w:r>
        <w:rPr>
          <w:rFonts w:ascii="Century Schoolbook" w:eastAsia="Century Schoolbook" w:hAnsi="Century Schoolbook" w:cs="Century Schoolbook"/>
        </w:rPr>
        <w:tab/>
      </w:r>
      <w:r>
        <w:rPr>
          <w:rFonts w:ascii="Century Schoolbook" w:eastAsia="Century Schoolbook" w:hAnsi="Century Schoolbook" w:cs="Century Schoolbook"/>
        </w:rPr>
        <w:tab/>
      </w:r>
      <w:r>
        <w:rPr>
          <w:rFonts w:ascii="Century Schoolbook" w:eastAsia="Century Schoolbook" w:hAnsi="Century Schoolbook" w:cs="Century Schoolbook"/>
        </w:rPr>
        <w:tab/>
        <w:t>(Eq. 2)</w:t>
      </w:r>
    </w:p>
    <w:p w14:paraId="521062F5" w14:textId="066A35A8" w:rsidR="007B1344" w:rsidRPr="009F549F" w:rsidRDefault="0009255D">
      <w:pPr>
        <w:spacing w:before="240" w:after="240"/>
        <w:ind w:firstLine="720"/>
        <w:jc w:val="both"/>
        <w:rPr>
          <w:rFonts w:eastAsia="Century Schoolbook"/>
        </w:rPr>
      </w:pPr>
      <w:r>
        <w:rPr>
          <w:rFonts w:eastAsia="Century Schoolbook"/>
        </w:rPr>
        <w:t>The treatment of interim distributions at the time of sale potentially</w:t>
      </w:r>
      <w:r w:rsidR="002347BA" w:rsidRPr="009F549F">
        <w:rPr>
          <w:rFonts w:eastAsia="Century Schoolbook"/>
        </w:rPr>
        <w:t xml:space="preserve"> depends on whether the tax rate has varied over the life of the asset. If the rate has remained fixed, </w:t>
      </w:r>
      <w:r w:rsidR="0021641F">
        <w:rPr>
          <w:rFonts w:eastAsia="Century Schoolbook"/>
        </w:rPr>
        <w:t xml:space="preserve">the </w:t>
      </w:r>
      <w:r w:rsidR="002347BA" w:rsidRPr="009F549F">
        <w:rPr>
          <w:rFonts w:eastAsia="Century Schoolbook"/>
        </w:rPr>
        <w:t xml:space="preserve">taxpayer </w:t>
      </w:r>
      <w:r w:rsidR="007D5EBC">
        <w:rPr>
          <w:rFonts w:ascii="Century Schoolbook" w:eastAsia="Century Schoolbook" w:hAnsi="Century Schoolbook" w:cs="Century Schoolbook"/>
        </w:rPr>
        <w:t>would apply</w:t>
      </w:r>
      <w:r w:rsidR="002347BA" w:rsidRPr="009F549F">
        <w:rPr>
          <w:rFonts w:eastAsia="Century Schoolbook"/>
        </w:rPr>
        <w:t xml:space="preserve"> the simple Land formula from Equation 1 (not the more complex one Land offers for treatment of assets with interim payments) but </w:t>
      </w:r>
      <w:r>
        <w:rPr>
          <w:rFonts w:ascii="Century Schoolbook" w:eastAsia="Century Schoolbook" w:hAnsi="Century Schoolbook" w:cs="Century Schoolbook"/>
        </w:rPr>
        <w:t>would include</w:t>
      </w:r>
      <w:r w:rsidR="002347BA" w:rsidRPr="009F549F">
        <w:rPr>
          <w:rFonts w:eastAsia="Century Schoolbook"/>
        </w:rPr>
        <w:t xml:space="preserve"> in the sale price the sum of all the interim payments received while </w:t>
      </w:r>
      <w:r w:rsidR="0021641F" w:rsidRPr="009F549F">
        <w:rPr>
          <w:rFonts w:eastAsia="Century Schoolbook"/>
        </w:rPr>
        <w:t xml:space="preserve">the </w:t>
      </w:r>
      <w:r w:rsidR="002347BA" w:rsidRPr="009F549F">
        <w:rPr>
          <w:rFonts w:eastAsia="Century Schoolbook"/>
        </w:rPr>
        <w:t xml:space="preserve">taxpayer owned the asset. </w:t>
      </w:r>
      <w:r>
        <w:rPr>
          <w:rFonts w:eastAsia="Century Schoolbook"/>
        </w:rPr>
        <w:t>Again, p</w:t>
      </w:r>
      <w:r w:rsidR="002347BA" w:rsidRPr="009F549F">
        <w:rPr>
          <w:rFonts w:eastAsia="Century Schoolbook"/>
        </w:rPr>
        <w:t xml:space="preserve">ast tax payments (or refunds) on interim payments </w:t>
      </w:r>
      <w:r w:rsidR="007D5EBC">
        <w:rPr>
          <w:rFonts w:ascii="Century Schoolbook" w:eastAsia="Century Schoolbook" w:hAnsi="Century Schoolbook" w:cs="Century Schoolbook"/>
        </w:rPr>
        <w:t xml:space="preserve">would be </w:t>
      </w:r>
      <w:r w:rsidR="002347BA" w:rsidRPr="009F549F">
        <w:rPr>
          <w:rFonts w:eastAsia="Century Schoolbook"/>
        </w:rPr>
        <w:t>credited (</w:t>
      </w:r>
      <w:r w:rsidR="0021641F" w:rsidRPr="009F549F">
        <w:rPr>
          <w:rFonts w:eastAsia="Century Schoolbook"/>
        </w:rPr>
        <w:t xml:space="preserve">or </w:t>
      </w:r>
      <w:r w:rsidR="002347BA" w:rsidRPr="009F549F">
        <w:rPr>
          <w:rFonts w:eastAsia="Century Schoolbook"/>
        </w:rPr>
        <w:t xml:space="preserve">debited, respectively) against this amount. If the tax rate has varied, our preferred approach, out of simplicity, is to still use this method but to calculate the tax due at sale based on the average rate prevailing over the holding period of the asset. </w:t>
      </w:r>
      <w:r w:rsidR="0064167F">
        <w:rPr>
          <w:rFonts w:ascii="Century Schoolbook" w:eastAsia="Century Schoolbook" w:hAnsi="Century Schoolbook" w:cs="Century Schoolbook"/>
        </w:rPr>
        <w:t xml:space="preserve">If </w:t>
      </w:r>
      <w:r w:rsidR="0064167F" w:rsidRPr="009F549F">
        <w:rPr>
          <w:rFonts w:ascii="Century Schoolbook" w:eastAsia="Century Schoolbook" w:hAnsi="Century Schoolbook" w:cs="Century Schoolbook"/>
          <w:i/>
        </w:rPr>
        <w:t>D</w:t>
      </w:r>
      <w:r w:rsidR="0064167F">
        <w:rPr>
          <w:rFonts w:ascii="Century Schoolbook" w:eastAsia="Century Schoolbook" w:hAnsi="Century Schoolbook" w:cs="Century Schoolbook"/>
        </w:rPr>
        <w:t xml:space="preserve"> is the distribution amount, then the tax liability calculation is:</w:t>
      </w:r>
    </w:p>
    <w:p w14:paraId="7F8005FD" w14:textId="7CB0B45A" w:rsidR="0064167F" w:rsidRDefault="0064167F" w:rsidP="00731895">
      <w:pPr>
        <w:spacing w:before="240" w:after="240"/>
        <w:ind w:firstLine="720"/>
        <w:jc w:val="both"/>
        <w:rPr>
          <w:rFonts w:ascii="Century Schoolbook" w:eastAsia="Century Schoolbook" w:hAnsi="Century Schoolbook" w:cs="Century Schoolbook"/>
        </w:rPr>
      </w:pPr>
      <w:r>
        <w:rPr>
          <w:rFonts w:ascii="Century Schoolbook" w:eastAsia="Century Schoolbook" w:hAnsi="Century Schoolbook" w:cs="Century Schoolbook"/>
        </w:rPr>
        <w:lastRenderedPageBreak/>
        <w:t>Tax Due = [</w:t>
      </w:r>
      <w:proofErr w:type="spellStart"/>
      <w:r>
        <w:rPr>
          <w:rFonts w:ascii="Century Schoolbook" w:eastAsia="Century Schoolbook" w:hAnsi="Century Schoolbook" w:cs="Century Schoolbook"/>
          <w:i/>
        </w:rPr>
        <w:t>S</w:t>
      </w:r>
      <w:r>
        <w:rPr>
          <w:rFonts w:ascii="Century Schoolbook" w:eastAsia="Century Schoolbook" w:hAnsi="Century Schoolbook" w:cs="Century Schoolbook"/>
          <w:i/>
          <w:vertAlign w:val="subscript"/>
        </w:rPr>
        <w:t>p</w:t>
      </w:r>
      <w:proofErr w:type="spellEnd"/>
      <w:r>
        <w:rPr>
          <w:rFonts w:ascii="Century Schoolbook" w:eastAsia="Century Schoolbook" w:hAnsi="Century Schoolbook" w:cs="Century Schoolbook"/>
          <w:i/>
          <w:vertAlign w:val="subscript"/>
        </w:rPr>
        <w:t xml:space="preserve"> </w:t>
      </w:r>
      <w:r>
        <w:rPr>
          <w:rFonts w:ascii="Century Schoolbook" w:eastAsia="Century Schoolbook" w:hAnsi="Century Schoolbook" w:cs="Century Schoolbook"/>
          <w:i/>
        </w:rPr>
        <w:t>–</w:t>
      </w:r>
      <w:r>
        <w:rPr>
          <w:rFonts w:ascii="Century Schoolbook" w:eastAsia="Century Schoolbook" w:hAnsi="Century Schoolbook" w:cs="Century Schoolbook"/>
        </w:rPr>
        <w:t xml:space="preserve"> W + </w:t>
      </w:r>
      <w:proofErr w:type="gramStart"/>
      <w:r w:rsidRPr="009F549F">
        <w:rPr>
          <w:rFonts w:ascii="Century Schoolbook" w:eastAsia="Century Schoolbook" w:hAnsi="Century Schoolbook" w:cs="Century Schoolbook"/>
          <w:i/>
        </w:rPr>
        <w:t>D</w:t>
      </w:r>
      <w:r>
        <w:rPr>
          <w:rFonts w:ascii="Century Schoolbook" w:eastAsia="Century Schoolbook" w:hAnsi="Century Schoolbook" w:cs="Century Schoolbook"/>
        </w:rPr>
        <w:t>](</w:t>
      </w:r>
      <w:proofErr w:type="gramEnd"/>
      <w:r>
        <w:rPr>
          <w:rFonts w:ascii="Century Schoolbook" w:eastAsia="Century Schoolbook" w:hAnsi="Century Schoolbook" w:cs="Century Schoolbook"/>
        </w:rPr>
        <w:t xml:space="preserve">1 </w:t>
      </w:r>
      <w:r>
        <w:rPr>
          <w:rFonts w:ascii="Century Schoolbook" w:eastAsia="Century Schoolbook" w:hAnsi="Century Schoolbook" w:cs="Century Schoolbook"/>
          <w:i/>
        </w:rPr>
        <w:t>–</w:t>
      </w:r>
      <w:r>
        <w:rPr>
          <w:rFonts w:ascii="Century Schoolbook" w:eastAsia="Century Schoolbook" w:hAnsi="Century Schoolbook" w:cs="Century Schoolbook"/>
        </w:rPr>
        <w:t xml:space="preserve"> ([</w:t>
      </w:r>
      <w:proofErr w:type="spellStart"/>
      <w:r>
        <w:rPr>
          <w:rFonts w:ascii="Century Schoolbook" w:eastAsia="Century Schoolbook" w:hAnsi="Century Schoolbook" w:cs="Century Schoolbook"/>
          <w:i/>
        </w:rPr>
        <w:t>S</w:t>
      </w:r>
      <w:r>
        <w:rPr>
          <w:rFonts w:ascii="Century Schoolbook" w:eastAsia="Century Schoolbook" w:hAnsi="Century Schoolbook" w:cs="Century Schoolbook"/>
          <w:i/>
          <w:vertAlign w:val="subscript"/>
        </w:rPr>
        <w:t>p</w:t>
      </w:r>
      <w:proofErr w:type="spellEnd"/>
      <w:r>
        <w:rPr>
          <w:rFonts w:ascii="Century Schoolbook" w:eastAsia="Century Schoolbook" w:hAnsi="Century Schoolbook" w:cs="Century Schoolbook"/>
          <w:i/>
          <w:vertAlign w:val="subscript"/>
        </w:rPr>
        <w:t xml:space="preserve"> </w:t>
      </w:r>
      <w:r>
        <w:rPr>
          <w:rFonts w:ascii="Century Schoolbook" w:eastAsia="Century Schoolbook" w:hAnsi="Century Schoolbook" w:cs="Century Schoolbook"/>
          <w:i/>
        </w:rPr>
        <w:t>– W + D</w:t>
      </w:r>
      <w:r w:rsidRPr="00BF0EFC">
        <w:rPr>
          <w:rFonts w:ascii="Century Schoolbook" w:eastAsia="Century Schoolbook" w:hAnsi="Century Schoolbook" w:cs="Century Schoolbook"/>
        </w:rPr>
        <w:t>]</w:t>
      </w:r>
      <w:r>
        <w:rPr>
          <w:rFonts w:ascii="Century Schoolbook" w:eastAsia="Century Schoolbook" w:hAnsi="Century Schoolbook" w:cs="Century Schoolbook"/>
        </w:rPr>
        <w:t>/</w:t>
      </w:r>
      <w:r>
        <w:rPr>
          <w:rFonts w:ascii="Century Schoolbook" w:eastAsia="Century Schoolbook" w:hAnsi="Century Schoolbook" w:cs="Century Schoolbook"/>
          <w:i/>
        </w:rPr>
        <w:t>P</w:t>
      </w:r>
      <w:r>
        <w:rPr>
          <w:rFonts w:ascii="Century Schoolbook" w:eastAsia="Century Schoolbook" w:hAnsi="Century Schoolbook" w:cs="Century Schoolbook"/>
        </w:rPr>
        <w:t>)</w:t>
      </w:r>
      <w:r>
        <w:rPr>
          <w:rFonts w:ascii="Century Schoolbook" w:eastAsia="Century Schoolbook" w:hAnsi="Century Schoolbook" w:cs="Century Schoolbook"/>
          <w:vertAlign w:val="superscript"/>
        </w:rPr>
        <w:t>-</w:t>
      </w:r>
      <w:r>
        <w:rPr>
          <w:rFonts w:ascii="Century Schoolbook" w:eastAsia="Century Schoolbook" w:hAnsi="Century Schoolbook" w:cs="Century Schoolbook"/>
          <w:i/>
          <w:vertAlign w:val="superscript"/>
        </w:rPr>
        <w:t>t</w:t>
      </w:r>
      <w:r>
        <w:rPr>
          <w:rFonts w:ascii="Century Schoolbook" w:eastAsia="Century Schoolbook" w:hAnsi="Century Schoolbook" w:cs="Century Schoolbook"/>
        </w:rPr>
        <w:t xml:space="preserve">) </w:t>
      </w:r>
      <w:r>
        <w:rPr>
          <w:rFonts w:ascii="Century Schoolbook" w:eastAsia="Century Schoolbook" w:hAnsi="Century Schoolbook" w:cs="Century Schoolbook"/>
        </w:rPr>
        <w:tab/>
      </w:r>
      <w:r>
        <w:rPr>
          <w:rFonts w:ascii="Century Schoolbook" w:eastAsia="Century Schoolbook" w:hAnsi="Century Schoolbook" w:cs="Century Schoolbook"/>
        </w:rPr>
        <w:tab/>
      </w:r>
      <w:r>
        <w:rPr>
          <w:rFonts w:ascii="Century Schoolbook" w:eastAsia="Century Schoolbook" w:hAnsi="Century Schoolbook" w:cs="Century Schoolbook"/>
        </w:rPr>
        <w:tab/>
        <w:t>(Eq. 3)</w:t>
      </w:r>
    </w:p>
    <w:p w14:paraId="59B130B0" w14:textId="77777777" w:rsidR="007B1344" w:rsidRPr="009F549F" w:rsidRDefault="002347BA" w:rsidP="009F549F">
      <w:pPr>
        <w:spacing w:before="240" w:after="240"/>
        <w:ind w:firstLine="720"/>
        <w:jc w:val="both"/>
        <w:rPr>
          <w:rFonts w:eastAsia="Century Schoolbook"/>
          <w:i/>
        </w:rPr>
      </w:pPr>
      <w:r w:rsidRPr="009F549F">
        <w:rPr>
          <w:rFonts w:eastAsia="Century Schoolbook"/>
          <w:i/>
        </w:rPr>
        <w:t>Example</w:t>
      </w:r>
    </w:p>
    <w:p w14:paraId="7DA5A80D" w14:textId="17CD7D15" w:rsidR="007B1344" w:rsidRPr="009F549F" w:rsidRDefault="002347BA">
      <w:pPr>
        <w:spacing w:before="240" w:after="240"/>
        <w:ind w:firstLine="720"/>
        <w:jc w:val="both"/>
        <w:rPr>
          <w:rFonts w:eastAsia="Century Schoolbook"/>
        </w:rPr>
      </w:pPr>
      <w:proofErr w:type="spellStart"/>
      <w:r w:rsidRPr="009F549F">
        <w:rPr>
          <w:rFonts w:eastAsia="Century Schoolbook"/>
        </w:rPr>
        <w:t>Divya</w:t>
      </w:r>
      <w:proofErr w:type="spellEnd"/>
      <w:r w:rsidRPr="009F549F">
        <w:rPr>
          <w:rFonts w:eastAsia="Century Schoolbook"/>
        </w:rPr>
        <w:t xml:space="preserve"> buys stock for $100x in year </w:t>
      </w:r>
      <w:r w:rsidR="0069683E" w:rsidRPr="00036097">
        <w:rPr>
          <w:rFonts w:eastAsia="Century Schoolbook"/>
        </w:rPr>
        <w:t>zero</w:t>
      </w:r>
      <w:r w:rsidRPr="009F549F">
        <w:rPr>
          <w:rFonts w:eastAsia="Century Schoolbook"/>
        </w:rPr>
        <w:t xml:space="preserve"> when the </w:t>
      </w:r>
      <w:r w:rsidR="00EE1198">
        <w:rPr>
          <w:rFonts w:eastAsia="Century Schoolbook"/>
        </w:rPr>
        <w:t xml:space="preserve">income </w:t>
      </w:r>
      <w:r w:rsidRPr="009F549F">
        <w:rPr>
          <w:rFonts w:eastAsia="Century Schoolbook"/>
        </w:rPr>
        <w:t>tax rate is 25</w:t>
      </w:r>
      <w:r w:rsidR="0069683E" w:rsidRPr="00036097">
        <w:rPr>
          <w:rFonts w:eastAsia="Century Schoolbook"/>
        </w:rPr>
        <w:t xml:space="preserve"> percent</w:t>
      </w:r>
      <w:r w:rsidRPr="009F549F">
        <w:rPr>
          <w:rFonts w:eastAsia="Century Schoolbook"/>
        </w:rPr>
        <w:t>. For simplicity, we assume that the deemed rate of return is 10</w:t>
      </w:r>
      <w:r w:rsidR="0069683E" w:rsidRPr="00036097">
        <w:rPr>
          <w:rFonts w:eastAsia="Century Schoolbook"/>
        </w:rPr>
        <w:t xml:space="preserve"> percent</w:t>
      </w:r>
      <w:r w:rsidRPr="009F549F">
        <w:rPr>
          <w:rFonts w:eastAsia="Century Schoolbook"/>
        </w:rPr>
        <w:t xml:space="preserve"> throughout the </w:t>
      </w:r>
      <w:r w:rsidR="007D5EBC">
        <w:rPr>
          <w:rFonts w:ascii="Century Schoolbook" w:eastAsia="Century Schoolbook" w:hAnsi="Century Schoolbook" w:cs="Century Schoolbook"/>
        </w:rPr>
        <w:t xml:space="preserve">entire </w:t>
      </w:r>
      <w:r w:rsidRPr="009F549F">
        <w:rPr>
          <w:rFonts w:eastAsia="Century Schoolbook"/>
        </w:rPr>
        <w:t xml:space="preserve">holding period and that no annual prepayments are required except when there are dividends or other distributions. In year </w:t>
      </w:r>
      <w:r w:rsidR="0069683E" w:rsidRPr="00036097">
        <w:rPr>
          <w:rFonts w:eastAsia="Century Schoolbook"/>
        </w:rPr>
        <w:t>two</w:t>
      </w:r>
      <w:r w:rsidRPr="009F549F">
        <w:rPr>
          <w:rFonts w:eastAsia="Century Schoolbook"/>
        </w:rPr>
        <w:t xml:space="preserve">, the </w:t>
      </w:r>
      <w:r w:rsidR="00EE1198">
        <w:rPr>
          <w:rFonts w:eastAsia="Century Schoolbook"/>
        </w:rPr>
        <w:t xml:space="preserve">income </w:t>
      </w:r>
      <w:r w:rsidRPr="009F549F">
        <w:rPr>
          <w:rFonts w:eastAsia="Century Schoolbook"/>
        </w:rPr>
        <w:t>tax rate is cut to 15</w:t>
      </w:r>
      <w:r w:rsidR="0069683E" w:rsidRPr="00036097">
        <w:rPr>
          <w:rFonts w:eastAsia="Century Schoolbook"/>
        </w:rPr>
        <w:t xml:space="preserve"> percent</w:t>
      </w:r>
      <w:r w:rsidRPr="009F549F">
        <w:rPr>
          <w:rFonts w:eastAsia="Century Schoolbook"/>
        </w:rPr>
        <w:t xml:space="preserve"> and the stock then pays a $20x dividend on the last day of year </w:t>
      </w:r>
      <w:r w:rsidR="0069683E" w:rsidRPr="00036097">
        <w:rPr>
          <w:rFonts w:eastAsia="Century Schoolbook"/>
        </w:rPr>
        <w:t>two</w:t>
      </w:r>
      <w:r w:rsidRPr="009F549F">
        <w:rPr>
          <w:rFonts w:eastAsia="Century Schoolbook"/>
        </w:rPr>
        <w:t xml:space="preserve">. Finally, at the end of year </w:t>
      </w:r>
      <w:r w:rsidR="0069683E" w:rsidRPr="00036097">
        <w:rPr>
          <w:rFonts w:eastAsia="Century Schoolbook"/>
        </w:rPr>
        <w:t>four</w:t>
      </w:r>
      <w:r w:rsidRPr="009F549F">
        <w:rPr>
          <w:rFonts w:eastAsia="Century Schoolbook"/>
        </w:rPr>
        <w:t>, the stock is sold for $100x. The tax rate</w:t>
      </w:r>
      <w:r w:rsidR="00EE1198">
        <w:rPr>
          <w:rFonts w:eastAsia="Century Schoolbook"/>
        </w:rPr>
        <w:t xml:space="preserve"> </w:t>
      </w:r>
      <w:r w:rsidR="00EE1198" w:rsidRPr="009F549F">
        <w:rPr>
          <w:rFonts w:eastAsia="Century Schoolbook"/>
          <w:i/>
        </w:rPr>
        <w:t>t</w:t>
      </w:r>
      <w:r w:rsidR="00EE1198">
        <w:rPr>
          <w:rFonts w:eastAsia="Century Schoolbook"/>
        </w:rPr>
        <w:t xml:space="preserve"> used in the retrospective formula</w:t>
      </w:r>
      <w:r w:rsidRPr="009F549F">
        <w:rPr>
          <w:rFonts w:eastAsia="Century Schoolbook"/>
        </w:rPr>
        <w:t xml:space="preserve"> in year </w:t>
      </w:r>
      <w:r w:rsidR="0021641F">
        <w:rPr>
          <w:rFonts w:eastAsia="Century Schoolbook"/>
        </w:rPr>
        <w:t>four</w:t>
      </w:r>
      <w:r w:rsidRPr="009F549F">
        <w:rPr>
          <w:rFonts w:eastAsia="Century Schoolbook"/>
        </w:rPr>
        <w:t xml:space="preserve"> is (25</w:t>
      </w:r>
      <w:r w:rsidR="00BF1E2F" w:rsidRPr="00036097">
        <w:rPr>
          <w:rFonts w:eastAsia="Century Schoolbook"/>
        </w:rPr>
        <w:t xml:space="preserve"> </w:t>
      </w:r>
      <w:r w:rsidRPr="00036097">
        <w:rPr>
          <w:rFonts w:eastAsia="Century Schoolbook"/>
        </w:rPr>
        <w:t>+</w:t>
      </w:r>
      <w:r w:rsidR="00BF1E2F" w:rsidRPr="00036097">
        <w:rPr>
          <w:rFonts w:eastAsia="Century Schoolbook"/>
        </w:rPr>
        <w:t xml:space="preserve"> </w:t>
      </w:r>
      <w:r w:rsidRPr="009F549F">
        <w:rPr>
          <w:rFonts w:eastAsia="Century Schoolbook"/>
        </w:rPr>
        <w:t>15</w:t>
      </w:r>
      <w:r w:rsidR="00BF1E2F" w:rsidRPr="00036097">
        <w:rPr>
          <w:rFonts w:eastAsia="Century Schoolbook"/>
        </w:rPr>
        <w:t xml:space="preserve"> </w:t>
      </w:r>
      <w:r w:rsidR="0021641F">
        <w:rPr>
          <w:rFonts w:eastAsia="Century Schoolbook"/>
        </w:rPr>
        <w:t>×</w:t>
      </w:r>
      <w:r w:rsidR="00BF1E2F" w:rsidRPr="00036097">
        <w:rPr>
          <w:rFonts w:eastAsia="Century Schoolbook"/>
        </w:rPr>
        <w:t xml:space="preserve"> </w:t>
      </w:r>
      <w:r w:rsidRPr="009F549F">
        <w:rPr>
          <w:rFonts w:eastAsia="Century Schoolbook"/>
        </w:rPr>
        <w:t>3)/4 = 17.5</w:t>
      </w:r>
      <w:r w:rsidR="00337AAF" w:rsidRPr="00036097">
        <w:rPr>
          <w:rFonts w:eastAsia="Century Schoolbook"/>
        </w:rPr>
        <w:t xml:space="preserve"> percent</w:t>
      </w:r>
      <w:r w:rsidRPr="009F549F">
        <w:rPr>
          <w:rFonts w:eastAsia="Century Schoolbook"/>
        </w:rPr>
        <w:t xml:space="preserve">. </w:t>
      </w:r>
    </w:p>
    <w:p w14:paraId="572CEBF0" w14:textId="28F9901C" w:rsidR="007B1344" w:rsidRPr="009F549F" w:rsidRDefault="002347BA">
      <w:pPr>
        <w:spacing w:before="240" w:after="240"/>
        <w:ind w:firstLine="720"/>
        <w:jc w:val="both"/>
        <w:rPr>
          <w:rFonts w:eastAsia="Century Schoolbook"/>
        </w:rPr>
      </w:pPr>
      <w:r w:rsidRPr="009F549F">
        <w:rPr>
          <w:rFonts w:eastAsia="Century Schoolbook"/>
          <w:b/>
        </w:rPr>
        <w:t>Year Two</w:t>
      </w:r>
      <w:r w:rsidRPr="009F549F">
        <w:rPr>
          <w:rFonts w:eastAsia="Century Schoolbook"/>
        </w:rPr>
        <w:t xml:space="preserve">: D’s stock is subject to an ULTRA of </w:t>
      </w:r>
      <w:r w:rsidR="006244E8">
        <w:rPr>
          <w:rFonts w:eastAsia="Century Schoolbook"/>
        </w:rPr>
        <w:t>0</w:t>
      </w:r>
      <w:r w:rsidRPr="009F549F">
        <w:rPr>
          <w:rFonts w:eastAsia="Century Schoolbook"/>
        </w:rPr>
        <w:t>.25</w:t>
      </w:r>
      <w:r w:rsidR="00BF1E2F" w:rsidRPr="00036097">
        <w:rPr>
          <w:rFonts w:eastAsia="Century Schoolbook"/>
        </w:rPr>
        <w:t xml:space="preserve"> </w:t>
      </w:r>
      <w:r w:rsidR="0021641F">
        <w:rPr>
          <w:rFonts w:eastAsia="Century Schoolbook"/>
        </w:rPr>
        <w:t>×</w:t>
      </w:r>
      <w:r w:rsidR="00BF1E2F" w:rsidRPr="00036097">
        <w:rPr>
          <w:rFonts w:eastAsia="Century Schoolbook"/>
        </w:rPr>
        <w:t xml:space="preserve"> </w:t>
      </w:r>
      <w:r w:rsidR="006244E8">
        <w:rPr>
          <w:rFonts w:eastAsia="Century Schoolbook"/>
        </w:rPr>
        <w:t>0</w:t>
      </w:r>
      <w:r w:rsidRPr="009F549F">
        <w:rPr>
          <w:rFonts w:eastAsia="Century Schoolbook"/>
        </w:rPr>
        <w:t xml:space="preserve">.1 + </w:t>
      </w:r>
      <w:r w:rsidR="006244E8">
        <w:rPr>
          <w:rFonts w:eastAsia="Century Schoolbook"/>
        </w:rPr>
        <w:t>0</w:t>
      </w:r>
      <w:r w:rsidRPr="009F549F">
        <w:rPr>
          <w:rFonts w:eastAsia="Century Schoolbook"/>
        </w:rPr>
        <w:t>.15</w:t>
      </w:r>
      <w:r w:rsidR="00BF1E2F" w:rsidRPr="00036097">
        <w:rPr>
          <w:rFonts w:eastAsia="Century Schoolbook"/>
        </w:rPr>
        <w:t xml:space="preserve"> </w:t>
      </w:r>
      <w:r w:rsidR="0021641F">
        <w:rPr>
          <w:rFonts w:eastAsia="Century Schoolbook"/>
        </w:rPr>
        <w:t>×</w:t>
      </w:r>
      <w:r w:rsidR="00BF1E2F" w:rsidRPr="00036097">
        <w:rPr>
          <w:rFonts w:eastAsia="Century Schoolbook"/>
        </w:rPr>
        <w:t xml:space="preserve"> </w:t>
      </w:r>
      <w:r w:rsidR="005B03C3">
        <w:rPr>
          <w:rFonts w:eastAsia="Century Schoolbook"/>
        </w:rPr>
        <w:t>[</w:t>
      </w:r>
      <w:r w:rsidR="006244E8">
        <w:rPr>
          <w:rFonts w:eastAsia="Century Schoolbook"/>
        </w:rPr>
        <w:t>0</w:t>
      </w:r>
      <w:r w:rsidRPr="00036097">
        <w:rPr>
          <w:rFonts w:eastAsia="Century Schoolbook"/>
        </w:rPr>
        <w:t>.</w:t>
      </w:r>
      <w:r w:rsidRPr="009F549F">
        <w:rPr>
          <w:rFonts w:eastAsia="Century Schoolbook"/>
        </w:rPr>
        <w:t>1</w:t>
      </w:r>
      <w:r w:rsidRPr="00036097">
        <w:rPr>
          <w:rFonts w:eastAsia="Century Schoolbook"/>
        </w:rPr>
        <w:t xml:space="preserve"> </w:t>
      </w:r>
      <w:r w:rsidR="0021641F">
        <w:rPr>
          <w:rFonts w:eastAsia="Century Schoolbook"/>
        </w:rPr>
        <w:t>−</w:t>
      </w:r>
      <w:r w:rsidRPr="00036097">
        <w:rPr>
          <w:rFonts w:eastAsia="Century Schoolbook"/>
        </w:rPr>
        <w:t xml:space="preserve"> (</w:t>
      </w:r>
      <w:r w:rsidR="006244E8">
        <w:rPr>
          <w:rFonts w:eastAsia="Century Schoolbook"/>
        </w:rPr>
        <w:t>0</w:t>
      </w:r>
      <w:r w:rsidRPr="00036097">
        <w:rPr>
          <w:rFonts w:eastAsia="Century Schoolbook"/>
        </w:rPr>
        <w:t>.</w:t>
      </w:r>
      <w:r w:rsidRPr="009F549F">
        <w:rPr>
          <w:rFonts w:eastAsia="Century Schoolbook"/>
        </w:rPr>
        <w:t>25</w:t>
      </w:r>
      <w:r w:rsidR="00BF1E2F" w:rsidRPr="00036097">
        <w:rPr>
          <w:rFonts w:eastAsia="Century Schoolbook"/>
        </w:rPr>
        <w:t xml:space="preserve"> </w:t>
      </w:r>
      <w:r w:rsidR="0021641F">
        <w:rPr>
          <w:rFonts w:eastAsia="Century Schoolbook"/>
        </w:rPr>
        <w:t>×</w:t>
      </w:r>
      <w:r w:rsidR="00BF1E2F" w:rsidRPr="00036097">
        <w:rPr>
          <w:rFonts w:eastAsia="Century Schoolbook"/>
        </w:rPr>
        <w:t xml:space="preserve"> </w:t>
      </w:r>
      <w:r w:rsidR="006244E8">
        <w:rPr>
          <w:rFonts w:eastAsia="Century Schoolbook"/>
        </w:rPr>
        <w:t>0</w:t>
      </w:r>
      <w:r w:rsidRPr="009F549F">
        <w:rPr>
          <w:rFonts w:eastAsia="Century Schoolbook"/>
        </w:rPr>
        <w:t>.1</w:t>
      </w:r>
      <w:r w:rsidRPr="00036097">
        <w:rPr>
          <w:rFonts w:eastAsia="Century Schoolbook"/>
        </w:rPr>
        <w:t>)</w:t>
      </w:r>
      <w:r w:rsidR="005B03C3">
        <w:rPr>
          <w:rFonts w:eastAsia="Century Schoolbook"/>
        </w:rPr>
        <w:t>]</w:t>
      </w:r>
      <w:r w:rsidRPr="00036097">
        <w:rPr>
          <w:rFonts w:eastAsia="Century Schoolbook"/>
        </w:rPr>
        <w:t xml:space="preserve"> = </w:t>
      </w:r>
      <w:r w:rsidR="006244E8">
        <w:rPr>
          <w:rFonts w:eastAsia="Century Schoolbook"/>
        </w:rPr>
        <w:t>0</w:t>
      </w:r>
      <w:r w:rsidRPr="009F549F">
        <w:rPr>
          <w:rFonts w:eastAsia="Century Schoolbook"/>
        </w:rPr>
        <w:t xml:space="preserve">.025 + </w:t>
      </w:r>
      <w:r w:rsidR="006244E8">
        <w:rPr>
          <w:rFonts w:eastAsia="Century Schoolbook"/>
        </w:rPr>
        <w:t>0</w:t>
      </w:r>
      <w:r w:rsidRPr="009F549F">
        <w:rPr>
          <w:rFonts w:eastAsia="Century Schoolbook"/>
        </w:rPr>
        <w:t>.</w:t>
      </w:r>
      <w:r w:rsidR="00B03BCA">
        <w:rPr>
          <w:rFonts w:ascii="Century Schoolbook" w:eastAsia="Century Schoolbook" w:hAnsi="Century Schoolbook" w:cs="Century Schoolbook"/>
        </w:rPr>
        <w:t xml:space="preserve">014625 </w:t>
      </w:r>
      <w:r w:rsidRPr="00036097">
        <w:rPr>
          <w:rFonts w:eastAsia="Century Schoolbook"/>
        </w:rPr>
        <w:t xml:space="preserve">= </w:t>
      </w:r>
      <w:r w:rsidR="006244E8">
        <w:rPr>
          <w:rFonts w:eastAsia="Century Schoolbook"/>
        </w:rPr>
        <w:t>0</w:t>
      </w:r>
      <w:r w:rsidRPr="00036097">
        <w:rPr>
          <w:rFonts w:eastAsia="Century Schoolbook"/>
        </w:rPr>
        <w:t>.03</w:t>
      </w:r>
      <w:r w:rsidR="00EE1198">
        <w:rPr>
          <w:rFonts w:eastAsia="Century Schoolbook"/>
        </w:rPr>
        <w:t>96</w:t>
      </w:r>
      <w:r w:rsidRPr="00036097">
        <w:rPr>
          <w:rFonts w:eastAsia="Century Schoolbook"/>
        </w:rPr>
        <w:t>25.</w:t>
      </w:r>
      <w:r w:rsidRPr="009F549F">
        <w:rPr>
          <w:rFonts w:eastAsia="Century Schoolbook"/>
        </w:rPr>
        <w:t xml:space="preserve"> D thus owes </w:t>
      </w:r>
      <w:r w:rsidR="006244E8">
        <w:rPr>
          <w:rFonts w:eastAsia="Century Schoolbook"/>
        </w:rPr>
        <w:t>0</w:t>
      </w:r>
      <w:r w:rsidRPr="009F549F">
        <w:rPr>
          <w:rFonts w:eastAsia="Century Schoolbook"/>
        </w:rPr>
        <w:t>.</w:t>
      </w:r>
      <w:r w:rsidR="00B03BCA">
        <w:rPr>
          <w:rFonts w:ascii="Century Schoolbook" w:eastAsia="Century Schoolbook" w:hAnsi="Century Schoolbook" w:cs="Century Schoolbook"/>
        </w:rPr>
        <w:t>0</w:t>
      </w:r>
      <w:r w:rsidR="001C6689">
        <w:rPr>
          <w:rFonts w:ascii="Century Schoolbook" w:eastAsia="Century Schoolbook" w:hAnsi="Century Schoolbook" w:cs="Century Schoolbook"/>
        </w:rPr>
        <w:t>396</w:t>
      </w:r>
      <w:r w:rsidR="00EE1198">
        <w:rPr>
          <w:rFonts w:ascii="Century Schoolbook" w:eastAsia="Century Schoolbook" w:hAnsi="Century Schoolbook" w:cs="Century Schoolbook"/>
        </w:rPr>
        <w:t>25</w:t>
      </w:r>
      <w:r w:rsidR="00B03BCA">
        <w:rPr>
          <w:rFonts w:ascii="Century Schoolbook" w:eastAsia="Century Schoolbook" w:hAnsi="Century Schoolbook" w:cs="Century Schoolbook"/>
        </w:rPr>
        <w:t xml:space="preserve"> </w:t>
      </w:r>
      <w:r w:rsidR="006244E8">
        <w:rPr>
          <w:rFonts w:eastAsia="Century Schoolbook"/>
        </w:rPr>
        <w:t>×</w:t>
      </w:r>
      <w:r w:rsidRPr="009F549F">
        <w:rPr>
          <w:rFonts w:eastAsia="Century Schoolbook"/>
        </w:rPr>
        <w:t xml:space="preserve"> $20x = </w:t>
      </w:r>
      <w:r w:rsidRPr="00036097">
        <w:rPr>
          <w:rFonts w:eastAsia="Century Schoolbook"/>
        </w:rPr>
        <w:t>$</w:t>
      </w:r>
      <w:r w:rsidR="006244E8">
        <w:rPr>
          <w:rFonts w:eastAsia="Century Schoolbook"/>
        </w:rPr>
        <w:t>0</w:t>
      </w:r>
      <w:r w:rsidRPr="00036097">
        <w:rPr>
          <w:rFonts w:eastAsia="Century Schoolbook"/>
        </w:rPr>
        <w:t>.</w:t>
      </w:r>
      <w:r w:rsidR="001C6689">
        <w:rPr>
          <w:rFonts w:ascii="Century Schoolbook" w:eastAsia="Century Schoolbook" w:hAnsi="Century Schoolbook" w:cs="Century Schoolbook"/>
        </w:rPr>
        <w:t>7925</w:t>
      </w:r>
      <w:r w:rsidR="00B03BCA">
        <w:rPr>
          <w:rFonts w:ascii="Century Schoolbook" w:eastAsia="Century Schoolbook" w:hAnsi="Century Schoolbook" w:cs="Century Schoolbook"/>
        </w:rPr>
        <w:t>x</w:t>
      </w:r>
      <w:r w:rsidR="00D53F5B">
        <w:rPr>
          <w:rFonts w:ascii="Century Schoolbook" w:eastAsia="Century Schoolbook" w:hAnsi="Century Schoolbook" w:cs="Century Schoolbook"/>
        </w:rPr>
        <w:t xml:space="preserve"> </w:t>
      </w:r>
      <w:r w:rsidR="006244E8">
        <w:rPr>
          <w:rFonts w:eastAsia="Century Schoolbook"/>
        </w:rPr>
        <w:t>in</w:t>
      </w:r>
      <w:r w:rsidR="006244E8" w:rsidRPr="009F549F">
        <w:rPr>
          <w:rFonts w:eastAsia="Century Schoolbook"/>
        </w:rPr>
        <w:t xml:space="preserve"> </w:t>
      </w:r>
      <w:r w:rsidRPr="009F549F">
        <w:rPr>
          <w:rFonts w:eastAsia="Century Schoolbook"/>
        </w:rPr>
        <w:t>tax on the dividend.</w:t>
      </w:r>
    </w:p>
    <w:p w14:paraId="716441B5" w14:textId="3D24032B" w:rsidR="007B1344" w:rsidRPr="009F549F" w:rsidRDefault="002347BA">
      <w:pPr>
        <w:spacing w:before="240" w:after="240"/>
        <w:ind w:firstLine="720"/>
        <w:jc w:val="both"/>
        <w:rPr>
          <w:rFonts w:eastAsia="Century Schoolbook"/>
        </w:rPr>
      </w:pPr>
      <w:r w:rsidRPr="009F549F">
        <w:rPr>
          <w:rFonts w:eastAsia="Century Schoolbook"/>
          <w:b/>
        </w:rPr>
        <w:t>Year Four</w:t>
      </w:r>
      <w:r w:rsidRPr="009F549F">
        <w:rPr>
          <w:rFonts w:eastAsia="Century Schoolbook"/>
        </w:rPr>
        <w:t xml:space="preserve">: At sale, D’s total tax due is, per Equation </w:t>
      </w:r>
      <w:r w:rsidR="00EE1198">
        <w:rPr>
          <w:rFonts w:eastAsia="Century Schoolbook"/>
        </w:rPr>
        <w:t>3</w:t>
      </w:r>
      <w:r w:rsidRPr="009F549F">
        <w:rPr>
          <w:rFonts w:eastAsia="Century Schoolbook"/>
        </w:rPr>
        <w:t xml:space="preserve">, </w:t>
      </w:r>
      <w:r w:rsidR="00EE1198">
        <w:rPr>
          <w:rFonts w:eastAsia="Century Schoolbook"/>
        </w:rPr>
        <w:t>[</w:t>
      </w:r>
      <w:r w:rsidRPr="009F549F">
        <w:rPr>
          <w:rFonts w:eastAsia="Century Schoolbook"/>
        </w:rPr>
        <w:t>100</w:t>
      </w:r>
      <w:r w:rsidR="00EE1198">
        <w:rPr>
          <w:rFonts w:eastAsia="Century Schoolbook"/>
        </w:rPr>
        <w:t xml:space="preserve"> −</w:t>
      </w:r>
      <w:r w:rsidR="00EE1198">
        <w:rPr>
          <w:rFonts w:ascii="Century Schoolbook" w:eastAsia="Century Schoolbook" w:hAnsi="Century Schoolbook" w:cs="Century Schoolbook"/>
        </w:rPr>
        <w:t xml:space="preserve"> </w:t>
      </w:r>
      <w:r>
        <w:rPr>
          <w:rFonts w:ascii="Century Schoolbook" w:eastAsia="Century Schoolbook" w:hAnsi="Century Schoolbook" w:cs="Century Schoolbook"/>
        </w:rPr>
        <w:t>.</w:t>
      </w:r>
      <w:r w:rsidR="001C6689">
        <w:rPr>
          <w:rFonts w:ascii="Century Schoolbook" w:eastAsia="Century Schoolbook" w:hAnsi="Century Schoolbook" w:cs="Century Schoolbook"/>
        </w:rPr>
        <w:t>7925</w:t>
      </w:r>
      <w:r w:rsidR="00EE1198">
        <w:rPr>
          <w:rFonts w:ascii="Century Schoolbook" w:eastAsia="Century Schoolbook" w:hAnsi="Century Schoolbook" w:cs="Century Schoolbook"/>
        </w:rPr>
        <w:t xml:space="preserve"> </w:t>
      </w:r>
      <w:r>
        <w:rPr>
          <w:rFonts w:ascii="Century Schoolbook" w:eastAsia="Century Schoolbook" w:hAnsi="Century Schoolbook" w:cs="Century Schoolbook"/>
        </w:rPr>
        <w:t>+</w:t>
      </w:r>
      <w:r w:rsidR="00D524C7" w:rsidRPr="00036097">
        <w:rPr>
          <w:rFonts w:eastAsia="Century Schoolbook"/>
        </w:rPr>
        <w:t xml:space="preserve"> </w:t>
      </w:r>
      <w:r w:rsidRPr="009F549F">
        <w:rPr>
          <w:rFonts w:eastAsia="Century Schoolbook"/>
        </w:rPr>
        <w:t>20</w:t>
      </w:r>
      <w:r w:rsidR="00EE1198">
        <w:rPr>
          <w:rFonts w:eastAsia="Century Schoolbook"/>
        </w:rPr>
        <w:t>] x (</w:t>
      </w:r>
      <w:r w:rsidRPr="009F549F">
        <w:rPr>
          <w:rFonts w:eastAsia="Century Schoolbook"/>
        </w:rPr>
        <w:t>1</w:t>
      </w:r>
      <w:r w:rsidR="00DE590F">
        <w:rPr>
          <w:rFonts w:eastAsia="Century Schoolbook"/>
        </w:rPr>
        <w:t xml:space="preserve"> </w:t>
      </w:r>
      <w:r w:rsidR="00510945">
        <w:rPr>
          <w:rFonts w:eastAsia="Century Schoolbook"/>
        </w:rPr>
        <w:t>–</w:t>
      </w:r>
      <w:r w:rsidR="00D524C7" w:rsidRPr="00036097">
        <w:rPr>
          <w:rFonts w:eastAsia="Century Schoolbook"/>
        </w:rPr>
        <w:t xml:space="preserve"> </w:t>
      </w:r>
      <w:r w:rsidR="00EE1198">
        <w:rPr>
          <w:rFonts w:eastAsia="Century Schoolbook"/>
        </w:rPr>
        <w:t>(</w:t>
      </w:r>
      <w:r w:rsidR="00510945">
        <w:rPr>
          <w:rFonts w:eastAsia="Century Schoolbook"/>
        </w:rPr>
        <w:t>[</w:t>
      </w:r>
      <w:r w:rsidRPr="009F549F">
        <w:rPr>
          <w:rFonts w:eastAsia="Century Schoolbook"/>
        </w:rPr>
        <w:t>100</w:t>
      </w:r>
      <w:r w:rsidR="00EE1198">
        <w:rPr>
          <w:rFonts w:ascii="Century Schoolbook" w:eastAsia="Century Schoolbook" w:hAnsi="Century Schoolbook" w:cs="Century Schoolbook"/>
        </w:rPr>
        <w:t xml:space="preserve"> </w:t>
      </w:r>
      <w:r w:rsidR="00EE1198">
        <w:rPr>
          <w:rFonts w:eastAsia="Century Schoolbook"/>
        </w:rPr>
        <w:t xml:space="preserve">− </w:t>
      </w:r>
      <w:r>
        <w:rPr>
          <w:rFonts w:ascii="Century Schoolbook" w:eastAsia="Century Schoolbook" w:hAnsi="Century Schoolbook" w:cs="Century Schoolbook"/>
        </w:rPr>
        <w:t>.</w:t>
      </w:r>
      <w:r w:rsidR="001C6689">
        <w:rPr>
          <w:rFonts w:ascii="Century Schoolbook" w:eastAsia="Century Schoolbook" w:hAnsi="Century Schoolbook" w:cs="Century Schoolbook"/>
        </w:rPr>
        <w:t>7925</w:t>
      </w:r>
      <w:r w:rsidR="00EE1198">
        <w:rPr>
          <w:rFonts w:ascii="Century Schoolbook" w:eastAsia="Century Schoolbook" w:hAnsi="Century Schoolbook" w:cs="Century Schoolbook"/>
        </w:rPr>
        <w:t xml:space="preserve"> </w:t>
      </w:r>
      <w:r>
        <w:rPr>
          <w:rFonts w:ascii="Century Schoolbook" w:eastAsia="Century Schoolbook" w:hAnsi="Century Schoolbook" w:cs="Century Schoolbook"/>
        </w:rPr>
        <w:t>+</w:t>
      </w:r>
      <w:r w:rsidR="00EE1198">
        <w:rPr>
          <w:rFonts w:ascii="Century Schoolbook" w:eastAsia="Century Schoolbook" w:hAnsi="Century Schoolbook" w:cs="Century Schoolbook"/>
        </w:rPr>
        <w:t xml:space="preserve"> 20]</w:t>
      </w:r>
      <w:r w:rsidR="00D524C7" w:rsidRPr="00036097">
        <w:rPr>
          <w:rFonts w:eastAsia="Century Schoolbook"/>
        </w:rPr>
        <w:t xml:space="preserve"> </w:t>
      </w:r>
      <w:r w:rsidRPr="009F549F">
        <w:rPr>
          <w:rFonts w:eastAsia="Century Schoolbook"/>
        </w:rPr>
        <w:t>/100</w:t>
      </w:r>
      <w:r>
        <w:rPr>
          <w:rFonts w:ascii="Century Schoolbook" w:eastAsia="Century Schoolbook" w:hAnsi="Century Schoolbook" w:cs="Century Schoolbook"/>
        </w:rPr>
        <w:t>)</w:t>
      </w:r>
      <w:r>
        <w:rPr>
          <w:rFonts w:ascii="Century Schoolbook" w:eastAsia="Century Schoolbook" w:hAnsi="Century Schoolbook" w:cs="Century Schoolbook"/>
          <w:vertAlign w:val="superscript"/>
        </w:rPr>
        <w:t>-.175</w:t>
      </w:r>
      <w:r>
        <w:rPr>
          <w:rFonts w:ascii="Century Schoolbook" w:eastAsia="Century Schoolbook" w:hAnsi="Century Schoolbook" w:cs="Century Schoolbook"/>
        </w:rPr>
        <w:t>) =</w:t>
      </w:r>
      <w:r w:rsidR="00EE1198">
        <w:rPr>
          <w:rFonts w:eastAsia="Century Schoolbook"/>
        </w:rPr>
        <w:t xml:space="preserve"> 119.2075 x </w:t>
      </w:r>
      <w:r w:rsidRPr="00036097">
        <w:rPr>
          <w:rFonts w:eastAsia="Century Schoolbook"/>
        </w:rPr>
        <w:t>.</w:t>
      </w:r>
      <w:r w:rsidR="00EE1198">
        <w:rPr>
          <w:rFonts w:eastAsia="Century Schoolbook"/>
        </w:rPr>
        <w:t>03028 = 3.609x.</w:t>
      </w:r>
      <w:r w:rsidRPr="009F549F">
        <w:rPr>
          <w:rFonts w:eastAsia="Century Schoolbook"/>
        </w:rPr>
        <w:t xml:space="preserve"> D receives a credit of </w:t>
      </w:r>
      <w:r w:rsidRPr="00036097">
        <w:rPr>
          <w:rFonts w:eastAsia="Century Schoolbook"/>
        </w:rPr>
        <w:t>$</w:t>
      </w:r>
      <w:r w:rsidR="006244E8">
        <w:rPr>
          <w:rFonts w:eastAsia="Century Schoolbook"/>
        </w:rPr>
        <w:t>0</w:t>
      </w:r>
      <w:r w:rsidRPr="00036097">
        <w:rPr>
          <w:rFonts w:eastAsia="Century Schoolbook"/>
        </w:rPr>
        <w:t>.</w:t>
      </w:r>
      <w:r w:rsidR="001C6689">
        <w:rPr>
          <w:rFonts w:ascii="Century Schoolbook" w:eastAsia="Century Schoolbook" w:hAnsi="Century Schoolbook" w:cs="Century Schoolbook"/>
        </w:rPr>
        <w:t>7925</w:t>
      </w:r>
      <w:r w:rsidR="00B03BCA">
        <w:rPr>
          <w:rFonts w:ascii="Century Schoolbook" w:eastAsia="Century Schoolbook" w:hAnsi="Century Schoolbook" w:cs="Century Schoolbook"/>
        </w:rPr>
        <w:t xml:space="preserve">x </w:t>
      </w:r>
      <w:r w:rsidRPr="009F549F">
        <w:rPr>
          <w:rFonts w:eastAsia="Century Schoolbook"/>
        </w:rPr>
        <w:t xml:space="preserve">and </w:t>
      </w:r>
      <w:r w:rsidR="003925DF">
        <w:rPr>
          <w:rFonts w:ascii="Century Schoolbook" w:eastAsia="Century Schoolbook" w:hAnsi="Century Schoolbook" w:cs="Century Schoolbook"/>
        </w:rPr>
        <w:t xml:space="preserve">thus </w:t>
      </w:r>
      <w:r w:rsidRPr="009F549F">
        <w:rPr>
          <w:rFonts w:eastAsia="Century Schoolbook"/>
        </w:rPr>
        <w:t xml:space="preserve">owes an additional </w:t>
      </w:r>
      <w:r>
        <w:rPr>
          <w:rFonts w:ascii="Century Schoolbook" w:eastAsia="Century Schoolbook" w:hAnsi="Century Schoolbook" w:cs="Century Schoolbook"/>
        </w:rPr>
        <w:t>$</w:t>
      </w:r>
      <w:r w:rsidR="001C6689">
        <w:rPr>
          <w:rFonts w:ascii="Century Schoolbook" w:eastAsia="Century Schoolbook" w:hAnsi="Century Schoolbook" w:cs="Century Schoolbook"/>
        </w:rPr>
        <w:t>2</w:t>
      </w:r>
      <w:r>
        <w:rPr>
          <w:rFonts w:ascii="Century Schoolbook" w:eastAsia="Century Schoolbook" w:hAnsi="Century Schoolbook" w:cs="Century Schoolbook"/>
        </w:rPr>
        <w:t>.</w:t>
      </w:r>
      <w:r w:rsidR="00CB3832">
        <w:rPr>
          <w:rFonts w:eastAsia="Century Schoolbook"/>
        </w:rPr>
        <w:t>8170</w:t>
      </w:r>
      <w:r w:rsidRPr="00036097">
        <w:rPr>
          <w:rFonts w:eastAsia="Century Schoolbook"/>
        </w:rPr>
        <w:t>x</w:t>
      </w:r>
      <w:r w:rsidRPr="009F549F">
        <w:rPr>
          <w:rFonts w:eastAsia="Century Schoolbook"/>
        </w:rPr>
        <w:t xml:space="preserve">. </w:t>
      </w:r>
    </w:p>
    <w:p w14:paraId="2E39AFB2" w14:textId="2B3C1BED" w:rsidR="007B1344" w:rsidRPr="009F549F" w:rsidRDefault="002347BA">
      <w:pPr>
        <w:spacing w:before="240" w:after="240"/>
        <w:ind w:firstLine="720"/>
        <w:jc w:val="both"/>
        <w:rPr>
          <w:rFonts w:eastAsia="Century Schoolbook"/>
        </w:rPr>
      </w:pPr>
      <w:r w:rsidRPr="009F549F">
        <w:rPr>
          <w:rFonts w:eastAsia="Century Schoolbook"/>
        </w:rPr>
        <w:t xml:space="preserve">It may seem counterintuitive that the interim payments can simply be included in the final sale price </w:t>
      </w:r>
      <w:r w:rsidR="009849B6">
        <w:rPr>
          <w:rFonts w:eastAsia="Century Schoolbook"/>
        </w:rPr>
        <w:t>as</w:t>
      </w:r>
      <w:r w:rsidR="00E242E3" w:rsidRPr="00036097">
        <w:rPr>
          <w:rFonts w:eastAsia="Century Schoolbook"/>
        </w:rPr>
        <w:t xml:space="preserve"> </w:t>
      </w:r>
      <w:r w:rsidRPr="009F549F">
        <w:rPr>
          <w:rFonts w:eastAsia="Century Schoolbook"/>
        </w:rPr>
        <w:t xml:space="preserve">this seems to ignore the time value of money. In fact, though, this reflects the fact that under an equity approach the timing of gains or losses is irrelevant to the tax calculation; all that matters </w:t>
      </w:r>
      <w:proofErr w:type="gramStart"/>
      <w:r w:rsidRPr="009F549F">
        <w:rPr>
          <w:rFonts w:eastAsia="Century Schoolbook"/>
        </w:rPr>
        <w:t>is</w:t>
      </w:r>
      <w:proofErr w:type="gramEnd"/>
      <w:r w:rsidRPr="009F549F">
        <w:rPr>
          <w:rFonts w:eastAsia="Century Schoolbook"/>
        </w:rPr>
        <w:t xml:space="preserve"> the proportional increase or decrease in the asset’s value. Accordingly, notice that there is no time variable in Equation</w:t>
      </w:r>
      <w:r w:rsidR="00CB3832">
        <w:rPr>
          <w:rFonts w:eastAsia="Century Schoolbook"/>
        </w:rPr>
        <w:t>s</w:t>
      </w:r>
      <w:r w:rsidRPr="009F549F">
        <w:rPr>
          <w:rFonts w:eastAsia="Century Schoolbook"/>
        </w:rPr>
        <w:t xml:space="preserve"> 1</w:t>
      </w:r>
      <w:r w:rsidR="00CB3832">
        <w:rPr>
          <w:rFonts w:eastAsia="Century Schoolbook"/>
        </w:rPr>
        <w:t xml:space="preserve"> through 3</w:t>
      </w:r>
      <w:r w:rsidRPr="009F549F">
        <w:rPr>
          <w:rFonts w:eastAsia="Century Schoolbook"/>
        </w:rPr>
        <w:t xml:space="preserve">. </w:t>
      </w:r>
    </w:p>
    <w:p w14:paraId="47B01F63" w14:textId="77777777" w:rsidR="00262E9E" w:rsidRDefault="002347BA">
      <w:pPr>
        <w:spacing w:before="240" w:after="240"/>
        <w:ind w:firstLine="720"/>
        <w:jc w:val="both"/>
        <w:rPr>
          <w:rFonts w:ascii="Century Schoolbook" w:eastAsia="Century Schoolbook" w:hAnsi="Century Schoolbook" w:cs="Century Schoolbook"/>
        </w:rPr>
      </w:pPr>
      <w:r w:rsidRPr="009F549F">
        <w:rPr>
          <w:rFonts w:eastAsia="Century Schoolbook"/>
        </w:rPr>
        <w:t>Our treatment of interim payments here differs from Land’s, but this difference has little impact on the ultimate economic outcomes for the average taxpayer. In Land’s method, taxpayers voluntarily reveal the fair market value of the taxed asset at the time of the interim distribution, and this value is used to calculate taxes both at the time of distribution and then again at sale. Land argues that taxpayers</w:t>
      </w:r>
      <w:r>
        <w:rPr>
          <w:rFonts w:ascii="Century Schoolbook" w:eastAsia="Century Schoolbook" w:hAnsi="Century Schoolbook" w:cs="Century Schoolbook"/>
        </w:rPr>
        <w:t xml:space="preserve"> </w:t>
      </w:r>
      <w:r w:rsidR="00A4219C">
        <w:rPr>
          <w:rFonts w:ascii="Century Schoolbook" w:eastAsia="Century Schoolbook" w:hAnsi="Century Schoolbook" w:cs="Century Schoolbook"/>
        </w:rPr>
        <w:t>should</w:t>
      </w:r>
      <w:r w:rsidRPr="009F549F">
        <w:rPr>
          <w:rFonts w:eastAsia="Century Schoolbook"/>
        </w:rPr>
        <w:t xml:space="preserve"> have an incentive to reveal the true value because this maximizes their after-tax return, as he shows with a simple proof. He also suggests, however, that the assumed value at the time of distribution has almost no impact on the taxpayer’s final after-tax return from the investment.</w:t>
      </w:r>
      <w:r w:rsidR="00262E9E">
        <w:rPr>
          <w:rFonts w:ascii="Century Schoolbook" w:eastAsia="Century Schoolbook" w:hAnsi="Century Schoolbook" w:cs="Century Schoolbook"/>
        </w:rPr>
        <w:t xml:space="preserve"> </w:t>
      </w:r>
    </w:p>
    <w:p w14:paraId="76160BB7" w14:textId="128973B3" w:rsidR="007B1344" w:rsidRPr="009F549F" w:rsidRDefault="00262E9E">
      <w:pPr>
        <w:spacing w:before="240" w:after="240"/>
        <w:ind w:firstLine="720"/>
        <w:jc w:val="both"/>
        <w:rPr>
          <w:rFonts w:eastAsia="Century Schoolbook"/>
        </w:rPr>
      </w:pPr>
      <w:r>
        <w:rPr>
          <w:rFonts w:ascii="Century Schoolbook" w:eastAsia="Century Schoolbook" w:hAnsi="Century Schoolbook" w:cs="Century Schoolbook"/>
        </w:rPr>
        <w:lastRenderedPageBreak/>
        <w:t xml:space="preserve">Regardless, Land’s method is likely </w:t>
      </w:r>
      <w:proofErr w:type="spellStart"/>
      <w:r>
        <w:rPr>
          <w:rFonts w:ascii="Century Schoolbook" w:eastAsia="Century Schoolbook" w:hAnsi="Century Schoolbook" w:cs="Century Schoolbook"/>
        </w:rPr>
        <w:t>unadministrable</w:t>
      </w:r>
      <w:proofErr w:type="spellEnd"/>
      <w:r>
        <w:rPr>
          <w:rFonts w:ascii="Century Schoolbook" w:eastAsia="Century Schoolbook" w:hAnsi="Century Schoolbook" w:cs="Century Schoolbook"/>
        </w:rPr>
        <w:t xml:space="preserve"> with respect to taxpayers with portfolios of assets </w:t>
      </w:r>
      <w:r w:rsidR="00356D20">
        <w:rPr>
          <w:rFonts w:ascii="Century Schoolbook" w:eastAsia="Century Schoolbook" w:hAnsi="Century Schoolbook" w:cs="Century Schoolbook"/>
        </w:rPr>
        <w:t>for which</w:t>
      </w:r>
      <w:r>
        <w:rPr>
          <w:rFonts w:ascii="Century Schoolbook" w:eastAsia="Century Schoolbook" w:hAnsi="Century Schoolbook" w:cs="Century Schoolbook"/>
        </w:rPr>
        <w:t xml:space="preserve"> interim contributions, distributions, and/or deemed distributions may occur frequently over time, as the need to revalue the assets upon each such interim </w:t>
      </w:r>
      <w:r w:rsidR="00FA5C52">
        <w:rPr>
          <w:rFonts w:ascii="Century Schoolbook" w:eastAsia="Century Schoolbook" w:hAnsi="Century Schoolbook" w:cs="Century Schoolbook"/>
        </w:rPr>
        <w:t>transaction</w:t>
      </w:r>
      <w:r>
        <w:rPr>
          <w:rFonts w:ascii="Century Schoolbook" w:eastAsia="Century Schoolbook" w:hAnsi="Century Schoolbook" w:cs="Century Schoolbook"/>
        </w:rPr>
        <w:t xml:space="preserve"> would present prohibitive administrative and compliance burdens. Also, as with other retrospective solutions, Land’s method only works </w:t>
      </w:r>
      <w:r w:rsidR="00356D20">
        <w:rPr>
          <w:rFonts w:ascii="Century Schoolbook" w:eastAsia="Century Schoolbook" w:hAnsi="Century Schoolbook" w:cs="Century Schoolbook"/>
        </w:rPr>
        <w:t xml:space="preserve">in practice </w:t>
      </w:r>
      <w:r>
        <w:rPr>
          <w:rFonts w:ascii="Century Schoolbook" w:eastAsia="Century Schoolbook" w:hAnsi="Century Schoolbook" w:cs="Century Schoolbook"/>
        </w:rPr>
        <w:t xml:space="preserve">if </w:t>
      </w:r>
      <w:r w:rsidR="00B60291">
        <w:rPr>
          <w:rFonts w:ascii="Century Schoolbook" w:eastAsia="Century Schoolbook" w:hAnsi="Century Schoolbook" w:cs="Century Schoolbook"/>
        </w:rPr>
        <w:t>it</w:t>
      </w:r>
      <w:r>
        <w:rPr>
          <w:rFonts w:ascii="Century Schoolbook" w:eastAsia="Century Schoolbook" w:hAnsi="Century Schoolbook" w:cs="Century Schoolbook"/>
        </w:rPr>
        <w:t xml:space="preserve"> </w:t>
      </w:r>
      <w:r w:rsidR="00356D20">
        <w:rPr>
          <w:rFonts w:ascii="Century Schoolbook" w:eastAsia="Century Schoolbook" w:hAnsi="Century Schoolbook" w:cs="Century Schoolbook"/>
        </w:rPr>
        <w:t>can be</w:t>
      </w:r>
      <w:r>
        <w:rPr>
          <w:rFonts w:ascii="Century Schoolbook" w:eastAsia="Century Schoolbook" w:hAnsi="Century Schoolbook" w:cs="Century Schoolbook"/>
        </w:rPr>
        <w:t xml:space="preserve"> </w:t>
      </w:r>
      <w:r w:rsidR="00B60291">
        <w:rPr>
          <w:rFonts w:ascii="Century Schoolbook" w:eastAsia="Century Schoolbook" w:hAnsi="Century Schoolbook" w:cs="Century Schoolbook"/>
        </w:rPr>
        <w:t>guaranteed that there w</w:t>
      </w:r>
      <w:r w:rsidR="00FA5C52">
        <w:rPr>
          <w:rFonts w:ascii="Century Schoolbook" w:eastAsia="Century Schoolbook" w:hAnsi="Century Schoolbook" w:cs="Century Schoolbook"/>
        </w:rPr>
        <w:t>ould</w:t>
      </w:r>
      <w:r w:rsidR="00B60291">
        <w:rPr>
          <w:rFonts w:ascii="Century Schoolbook" w:eastAsia="Century Schoolbook" w:hAnsi="Century Schoolbook" w:cs="Century Schoolbook"/>
        </w:rPr>
        <w:t xml:space="preserve"> </w:t>
      </w:r>
      <w:r>
        <w:rPr>
          <w:rFonts w:ascii="Century Schoolbook" w:eastAsia="Century Schoolbook" w:hAnsi="Century Schoolbook" w:cs="Century Schoolbook"/>
        </w:rPr>
        <w:t xml:space="preserve">ultimately </w:t>
      </w:r>
      <w:r w:rsidR="00B60291">
        <w:rPr>
          <w:rFonts w:ascii="Century Schoolbook" w:eastAsia="Century Schoolbook" w:hAnsi="Century Schoolbook" w:cs="Century Schoolbook"/>
        </w:rPr>
        <w:t xml:space="preserve">be </w:t>
      </w:r>
      <w:r>
        <w:rPr>
          <w:rFonts w:ascii="Century Schoolbook" w:eastAsia="Century Schoolbook" w:hAnsi="Century Schoolbook" w:cs="Century Schoolbook"/>
        </w:rPr>
        <w:t xml:space="preserve">a final sale or other resolution of all assets </w:t>
      </w:r>
      <w:r w:rsidR="00FA5C52">
        <w:rPr>
          <w:rFonts w:ascii="Century Schoolbook" w:eastAsia="Century Schoolbook" w:hAnsi="Century Schoolbook" w:cs="Century Schoolbook"/>
        </w:rPr>
        <w:t>that would</w:t>
      </w:r>
      <w:r>
        <w:rPr>
          <w:rFonts w:ascii="Century Schoolbook" w:eastAsia="Century Schoolbook" w:hAnsi="Century Schoolbook" w:cs="Century Schoolbook"/>
        </w:rPr>
        <w:t xml:space="preserve"> generate an accurate </w:t>
      </w:r>
      <w:r w:rsidR="00356D20">
        <w:rPr>
          <w:rFonts w:ascii="Century Schoolbook" w:eastAsia="Century Schoolbook" w:hAnsi="Century Schoolbook" w:cs="Century Schoolbook"/>
        </w:rPr>
        <w:t xml:space="preserve">final </w:t>
      </w:r>
      <w:r>
        <w:rPr>
          <w:rFonts w:ascii="Century Schoolbook" w:eastAsia="Century Schoolbook" w:hAnsi="Century Schoolbook" w:cs="Century Schoolbook"/>
        </w:rPr>
        <w:t xml:space="preserve">valuation </w:t>
      </w:r>
      <w:r w:rsidR="00FA5C52">
        <w:rPr>
          <w:rFonts w:ascii="Century Schoolbook" w:eastAsia="Century Schoolbook" w:hAnsi="Century Schoolbook" w:cs="Century Schoolbook"/>
        </w:rPr>
        <w:t>for reconciliation true-up purposes</w:t>
      </w:r>
      <w:r>
        <w:rPr>
          <w:rFonts w:ascii="Century Schoolbook" w:eastAsia="Century Schoolbook" w:hAnsi="Century Schoolbook" w:cs="Century Schoolbook"/>
        </w:rPr>
        <w:t>.</w:t>
      </w:r>
      <w:r w:rsidR="00B60291">
        <w:rPr>
          <w:rFonts w:ascii="Century Schoolbook" w:eastAsia="Century Schoolbook" w:hAnsi="Century Schoolbook" w:cs="Century Schoolbook"/>
        </w:rPr>
        <w:t xml:space="preserve"> </w:t>
      </w:r>
      <w:r w:rsidR="00356D20">
        <w:rPr>
          <w:rFonts w:ascii="Century Schoolbook" w:eastAsia="Century Schoolbook" w:hAnsi="Century Schoolbook" w:cs="Century Schoolbook"/>
        </w:rPr>
        <w:t>However, b</w:t>
      </w:r>
      <w:r w:rsidR="00B60291">
        <w:rPr>
          <w:rFonts w:ascii="Century Schoolbook" w:eastAsia="Century Schoolbook" w:hAnsi="Century Schoolbook" w:cs="Century Schoolbook"/>
        </w:rPr>
        <w:t>ecause of political optionality concerns and the difficulty of conducting valuations for many assets upon events like death, this cannot be guaranteed</w:t>
      </w:r>
      <w:r w:rsidR="00CB3832">
        <w:rPr>
          <w:rFonts w:ascii="Century Schoolbook" w:eastAsia="Century Schoolbook" w:hAnsi="Century Schoolbook" w:cs="Century Schoolbook"/>
        </w:rPr>
        <w:t>.</w:t>
      </w:r>
      <w:r w:rsidR="00356D20">
        <w:rPr>
          <w:rFonts w:ascii="Century Schoolbook" w:eastAsia="Century Schoolbook" w:hAnsi="Century Schoolbook" w:cs="Century Schoolbook"/>
        </w:rPr>
        <w:t xml:space="preserve"> </w:t>
      </w:r>
      <w:r w:rsidR="00CB3832">
        <w:rPr>
          <w:rFonts w:ascii="Century Schoolbook" w:eastAsia="Century Schoolbook" w:hAnsi="Century Schoolbook" w:cs="Century Schoolbook"/>
        </w:rPr>
        <w:t>I</w:t>
      </w:r>
      <w:r w:rsidR="00433CAB">
        <w:rPr>
          <w:rFonts w:ascii="Century Schoolbook" w:eastAsia="Century Schoolbook" w:hAnsi="Century Schoolbook" w:cs="Century Schoolbook"/>
        </w:rPr>
        <w:t>n practice,</w:t>
      </w:r>
      <w:r w:rsidR="00B60291">
        <w:rPr>
          <w:rFonts w:ascii="Century Schoolbook" w:eastAsia="Century Schoolbook" w:hAnsi="Century Schoolbook" w:cs="Century Schoolbook"/>
        </w:rPr>
        <w:t xml:space="preserve"> </w:t>
      </w:r>
      <w:r w:rsidR="00CB3832">
        <w:rPr>
          <w:rFonts w:ascii="Century Schoolbook" w:eastAsia="Century Schoolbook" w:hAnsi="Century Schoolbook" w:cs="Century Schoolbook"/>
        </w:rPr>
        <w:t xml:space="preserve">therefore, </w:t>
      </w:r>
      <w:r w:rsidR="00B60291">
        <w:rPr>
          <w:rFonts w:ascii="Century Schoolbook" w:eastAsia="Century Schoolbook" w:hAnsi="Century Schoolbook" w:cs="Century Schoolbook"/>
        </w:rPr>
        <w:t xml:space="preserve">Land’s method </w:t>
      </w:r>
      <w:r w:rsidR="00FA5C52">
        <w:rPr>
          <w:rFonts w:ascii="Century Schoolbook" w:eastAsia="Century Schoolbook" w:hAnsi="Century Schoolbook" w:cs="Century Schoolbook"/>
        </w:rPr>
        <w:t>would likely</w:t>
      </w:r>
      <w:r w:rsidR="00B60291">
        <w:rPr>
          <w:rFonts w:ascii="Century Schoolbook" w:eastAsia="Century Schoolbook" w:hAnsi="Century Schoolbook" w:cs="Century Schoolbook"/>
        </w:rPr>
        <w:t xml:space="preserve"> be manipulated by taxpayers playing valuation games with interim distributions or with personal-level borrowing.</w:t>
      </w:r>
      <w:r>
        <w:rPr>
          <w:rFonts w:ascii="Century Schoolbook" w:eastAsia="Century Schoolbook" w:hAnsi="Century Schoolbook" w:cs="Century Schoolbook"/>
        </w:rPr>
        <w:t xml:space="preserve">   </w:t>
      </w:r>
    </w:p>
    <w:p w14:paraId="3D742E5A" w14:textId="3E28608A" w:rsidR="00B60291" w:rsidRDefault="00B60291">
      <w:pPr>
        <w:spacing w:before="240" w:after="240"/>
        <w:ind w:firstLine="720"/>
        <w:jc w:val="both"/>
        <w:rPr>
          <w:rFonts w:ascii="Century Schoolbook" w:eastAsia="Century Schoolbook" w:hAnsi="Century Schoolbook" w:cs="Century Schoolbook"/>
        </w:rPr>
      </w:pPr>
      <w:r>
        <w:rPr>
          <w:rFonts w:ascii="Century Schoolbook" w:eastAsia="Century Schoolbook" w:hAnsi="Century Schoolbook" w:cs="Century Schoolbook"/>
        </w:rPr>
        <w:t xml:space="preserve">Integrating Land’s retrospective methodology with ULTRAs as a withholding mechanism potentially solves these issues. But this </w:t>
      </w:r>
      <w:r w:rsidR="00356D20">
        <w:rPr>
          <w:rFonts w:ascii="Century Schoolbook" w:eastAsia="Century Schoolbook" w:hAnsi="Century Schoolbook" w:cs="Century Schoolbook"/>
        </w:rPr>
        <w:t xml:space="preserve">then </w:t>
      </w:r>
      <w:r>
        <w:rPr>
          <w:rFonts w:ascii="Century Schoolbook" w:eastAsia="Century Schoolbook" w:hAnsi="Century Schoolbook" w:cs="Century Schoolbook"/>
        </w:rPr>
        <w:t>raises the question of whether Land is correct in claiming</w:t>
      </w:r>
      <w:r w:rsidR="00356D20">
        <w:rPr>
          <w:rFonts w:ascii="Century Schoolbook" w:eastAsia="Century Schoolbook" w:hAnsi="Century Schoolbook" w:cs="Century Schoolbook"/>
        </w:rPr>
        <w:t xml:space="preserve"> that presumed valuations at the time of distributions has almost no impact on the taxpayer’s final after-tax return from the investment. </w:t>
      </w:r>
      <w:r>
        <w:rPr>
          <w:rFonts w:ascii="Century Schoolbook" w:eastAsia="Century Schoolbook" w:hAnsi="Century Schoolbook" w:cs="Century Schoolbook"/>
        </w:rPr>
        <w:t xml:space="preserve">  </w:t>
      </w:r>
    </w:p>
    <w:p w14:paraId="46CC5355" w14:textId="679EC5BE" w:rsidR="007B1344" w:rsidRPr="009F549F" w:rsidRDefault="002347BA">
      <w:pPr>
        <w:spacing w:before="240" w:after="240"/>
        <w:ind w:firstLine="720"/>
        <w:jc w:val="both"/>
        <w:rPr>
          <w:rFonts w:eastAsia="Century Schoolbook"/>
        </w:rPr>
      </w:pPr>
      <w:r w:rsidRPr="009F549F">
        <w:rPr>
          <w:rFonts w:eastAsia="Century Schoolbook"/>
        </w:rPr>
        <w:t>We</w:t>
      </w:r>
      <w:r>
        <w:rPr>
          <w:rFonts w:ascii="Century Schoolbook" w:eastAsia="Century Schoolbook" w:hAnsi="Century Schoolbook" w:cs="Century Schoolbook"/>
        </w:rPr>
        <w:t xml:space="preserve"> </w:t>
      </w:r>
      <w:r w:rsidR="00B60291">
        <w:rPr>
          <w:rFonts w:ascii="Century Schoolbook" w:eastAsia="Century Schoolbook" w:hAnsi="Century Schoolbook" w:cs="Century Schoolbook"/>
        </w:rPr>
        <w:t>thus</w:t>
      </w:r>
      <w:r w:rsidRPr="009F549F">
        <w:rPr>
          <w:rFonts w:eastAsia="Century Schoolbook"/>
        </w:rPr>
        <w:t xml:space="preserve"> test this claim with a series of simulations. In each set, we generate </w:t>
      </w:r>
      <w:r w:rsidR="00451995" w:rsidRPr="00036097">
        <w:rPr>
          <w:rFonts w:eastAsia="Century Schoolbook"/>
        </w:rPr>
        <w:t>five hundred</w:t>
      </w:r>
      <w:r w:rsidRPr="00036097">
        <w:rPr>
          <w:rFonts w:eastAsia="Century Schoolbook"/>
        </w:rPr>
        <w:t xml:space="preserve"> </w:t>
      </w:r>
      <w:r w:rsidRPr="009F549F">
        <w:rPr>
          <w:rFonts w:eastAsia="Century Schoolbook"/>
        </w:rPr>
        <w:t xml:space="preserve">assets with random starting </w:t>
      </w:r>
      <w:r w:rsidRPr="00036097">
        <w:rPr>
          <w:rFonts w:eastAsia="Century Schoolbook"/>
        </w:rPr>
        <w:t>value</w:t>
      </w:r>
      <w:r w:rsidR="004A0700">
        <w:rPr>
          <w:rFonts w:eastAsia="Century Schoolbook"/>
        </w:rPr>
        <w:t>s</w:t>
      </w:r>
      <w:r w:rsidRPr="00036097">
        <w:rPr>
          <w:rFonts w:eastAsia="Century Schoolbook"/>
        </w:rPr>
        <w:t>, rate</w:t>
      </w:r>
      <w:r w:rsidR="004A0700">
        <w:rPr>
          <w:rFonts w:eastAsia="Century Schoolbook"/>
        </w:rPr>
        <w:t>s</w:t>
      </w:r>
      <w:r w:rsidRPr="009F549F">
        <w:rPr>
          <w:rFonts w:eastAsia="Century Schoolbook"/>
        </w:rPr>
        <w:t xml:space="preserve"> of return, sale </w:t>
      </w:r>
      <w:r w:rsidRPr="00036097">
        <w:rPr>
          <w:rFonts w:eastAsia="Century Schoolbook"/>
        </w:rPr>
        <w:t>date</w:t>
      </w:r>
      <w:r w:rsidR="004A0700">
        <w:rPr>
          <w:rFonts w:eastAsia="Century Schoolbook"/>
        </w:rPr>
        <w:t>s</w:t>
      </w:r>
      <w:r w:rsidRPr="009F549F">
        <w:rPr>
          <w:rFonts w:eastAsia="Century Schoolbook"/>
        </w:rPr>
        <w:t xml:space="preserve">, dividend </w:t>
      </w:r>
      <w:r w:rsidRPr="00036097">
        <w:rPr>
          <w:rFonts w:eastAsia="Century Schoolbook"/>
        </w:rPr>
        <w:t>date</w:t>
      </w:r>
      <w:r w:rsidR="004A0700">
        <w:rPr>
          <w:rFonts w:eastAsia="Century Schoolbook"/>
        </w:rPr>
        <w:t>s</w:t>
      </w:r>
      <w:r w:rsidRPr="009F549F">
        <w:rPr>
          <w:rFonts w:eastAsia="Century Schoolbook"/>
        </w:rPr>
        <w:t xml:space="preserve">, and dividend </w:t>
      </w:r>
      <w:r w:rsidRPr="00036097">
        <w:rPr>
          <w:rFonts w:eastAsia="Century Schoolbook"/>
        </w:rPr>
        <w:t>amount</w:t>
      </w:r>
      <w:r w:rsidR="004A0700">
        <w:rPr>
          <w:rFonts w:eastAsia="Century Schoolbook"/>
        </w:rPr>
        <w:t>s</w:t>
      </w:r>
      <w:r w:rsidRPr="009F549F">
        <w:rPr>
          <w:rFonts w:eastAsia="Century Schoolbook"/>
        </w:rPr>
        <w:t xml:space="preserve">. We then compute the after-tax return for each asset under three alternative methods for taxing interim distributions: our proposal, Land’s method, and a third method in which the asset’s value at the time of the dividend is assumed to be its purchase price plus the dividend amount. We repeat the exercise with rates of return centered low, moderate, and very high </w:t>
      </w:r>
      <w:r w:rsidRPr="00036097">
        <w:rPr>
          <w:rFonts w:eastAsia="Century Schoolbook"/>
        </w:rPr>
        <w:t>(</w:t>
      </w:r>
      <w:r w:rsidR="004A0700">
        <w:rPr>
          <w:rFonts w:eastAsia="Century Schoolbook"/>
        </w:rPr>
        <w:t>0</w:t>
      </w:r>
      <w:r w:rsidRPr="00036097">
        <w:rPr>
          <w:rFonts w:eastAsia="Century Schoolbook"/>
        </w:rPr>
        <w:t>.</w:t>
      </w:r>
      <w:r w:rsidRPr="009F549F">
        <w:rPr>
          <w:rFonts w:eastAsia="Century Schoolbook"/>
        </w:rPr>
        <w:t xml:space="preserve">05, </w:t>
      </w:r>
      <w:r w:rsidR="004A0700">
        <w:rPr>
          <w:rFonts w:eastAsia="Century Schoolbook"/>
        </w:rPr>
        <w:t>0</w:t>
      </w:r>
      <w:r w:rsidRPr="009F549F">
        <w:rPr>
          <w:rFonts w:eastAsia="Century Schoolbook"/>
        </w:rPr>
        <w:t xml:space="preserve">.1, and </w:t>
      </w:r>
      <w:r w:rsidR="004A0700">
        <w:rPr>
          <w:rFonts w:eastAsia="Century Schoolbook"/>
        </w:rPr>
        <w:t>0</w:t>
      </w:r>
      <w:r w:rsidRPr="009F549F">
        <w:rPr>
          <w:rFonts w:eastAsia="Century Schoolbook"/>
        </w:rPr>
        <w:t>.5), lower and higher variance</w:t>
      </w:r>
      <w:r w:rsidR="00CB3832">
        <w:rPr>
          <w:rFonts w:eastAsia="Century Schoolbook"/>
        </w:rPr>
        <w:t xml:space="preserve"> of the rate of return</w:t>
      </w:r>
      <w:r w:rsidRPr="009F549F">
        <w:rPr>
          <w:rFonts w:eastAsia="Century Schoolbook"/>
        </w:rPr>
        <w:t xml:space="preserve"> (standard deviations of </w:t>
      </w:r>
      <w:r w:rsidR="004A0700">
        <w:rPr>
          <w:rFonts w:eastAsia="Century Schoolbook"/>
        </w:rPr>
        <w:t>0</w:t>
      </w:r>
      <w:r w:rsidRPr="009F549F">
        <w:rPr>
          <w:rFonts w:eastAsia="Century Schoolbook"/>
        </w:rPr>
        <w:t xml:space="preserve">.2 and </w:t>
      </w:r>
      <w:r w:rsidR="004A0700">
        <w:rPr>
          <w:rFonts w:eastAsia="Century Schoolbook"/>
        </w:rPr>
        <w:t>0</w:t>
      </w:r>
      <w:r w:rsidRPr="009F549F">
        <w:rPr>
          <w:rFonts w:eastAsia="Century Schoolbook"/>
        </w:rPr>
        <w:t>.5), and low, moderate, and high tax rates (10</w:t>
      </w:r>
      <w:r w:rsidR="00451995" w:rsidRPr="00036097">
        <w:rPr>
          <w:rFonts w:eastAsia="Century Schoolbook"/>
        </w:rPr>
        <w:t xml:space="preserve"> percent</w:t>
      </w:r>
      <w:r w:rsidRPr="009F549F">
        <w:rPr>
          <w:rFonts w:eastAsia="Century Schoolbook"/>
        </w:rPr>
        <w:t>, 20</w:t>
      </w:r>
      <w:r w:rsidR="00451995" w:rsidRPr="00036097">
        <w:rPr>
          <w:rFonts w:eastAsia="Century Schoolbook"/>
        </w:rPr>
        <w:t xml:space="preserve"> percent</w:t>
      </w:r>
      <w:r w:rsidRPr="00036097">
        <w:rPr>
          <w:rFonts w:eastAsia="Century Schoolbook"/>
        </w:rPr>
        <w:t xml:space="preserve">, </w:t>
      </w:r>
      <w:r w:rsidR="00451995" w:rsidRPr="00036097">
        <w:rPr>
          <w:rFonts w:eastAsia="Century Schoolbook"/>
        </w:rPr>
        <w:t>and</w:t>
      </w:r>
      <w:r w:rsidR="00451995" w:rsidRPr="009F549F">
        <w:rPr>
          <w:rFonts w:eastAsia="Century Schoolbook"/>
        </w:rPr>
        <w:t xml:space="preserve"> </w:t>
      </w:r>
      <w:r w:rsidRPr="009F549F">
        <w:rPr>
          <w:rFonts w:eastAsia="Century Schoolbook"/>
        </w:rPr>
        <w:t>40</w:t>
      </w:r>
      <w:r w:rsidR="00451995" w:rsidRPr="00036097">
        <w:rPr>
          <w:rFonts w:eastAsia="Century Schoolbook"/>
        </w:rPr>
        <w:t xml:space="preserve"> percent</w:t>
      </w:r>
      <w:r w:rsidRPr="009F549F">
        <w:rPr>
          <w:rFonts w:eastAsia="Century Schoolbook"/>
        </w:rPr>
        <w:t xml:space="preserve">). </w:t>
      </w:r>
    </w:p>
    <w:p w14:paraId="27A5B46E" w14:textId="2CF45EBD" w:rsidR="007B1344" w:rsidRPr="009F549F" w:rsidRDefault="002347BA">
      <w:pPr>
        <w:spacing w:before="240" w:after="240"/>
        <w:ind w:firstLine="720"/>
        <w:jc w:val="both"/>
        <w:rPr>
          <w:rFonts w:eastAsia="Century Schoolbook"/>
        </w:rPr>
      </w:pPr>
      <w:r w:rsidRPr="009F549F">
        <w:rPr>
          <w:rFonts w:eastAsia="Century Schoolbook"/>
        </w:rPr>
        <w:t xml:space="preserve">Across all these variations, there are only tiny differences in the final after-tax result between Land’s method and ours, with a median difference of about ten </w:t>
      </w:r>
      <w:r w:rsidRPr="009F549F">
        <w:rPr>
          <w:rFonts w:eastAsia="Century Schoolbook"/>
        </w:rPr>
        <w:lastRenderedPageBreak/>
        <w:t>dollars. The largest divergence was under 5</w:t>
      </w:r>
      <w:r w:rsidR="00451995" w:rsidRPr="00036097">
        <w:rPr>
          <w:rFonts w:eastAsia="Century Schoolbook"/>
        </w:rPr>
        <w:t xml:space="preserve"> percent</w:t>
      </w:r>
      <w:r w:rsidRPr="009F549F">
        <w:rPr>
          <w:rFonts w:eastAsia="Century Schoolbook"/>
        </w:rPr>
        <w:t xml:space="preserve"> of the total after-tax return, around </w:t>
      </w:r>
      <w:r w:rsidR="004A0700">
        <w:rPr>
          <w:rFonts w:eastAsia="Century Schoolbook"/>
        </w:rPr>
        <w:t>sixty-four dollars</w:t>
      </w:r>
      <w:r w:rsidRPr="009F549F">
        <w:rPr>
          <w:rFonts w:eastAsia="Century Schoolbook"/>
        </w:rPr>
        <w:t>. Figure One illustrates some representative cases.</w:t>
      </w:r>
    </w:p>
    <w:p w14:paraId="0E340FE7" w14:textId="35E34264" w:rsidR="007B1344" w:rsidRPr="009F549F" w:rsidRDefault="0064167F">
      <w:pPr>
        <w:spacing w:before="240" w:after="240"/>
        <w:ind w:firstLine="720"/>
        <w:jc w:val="both"/>
        <w:rPr>
          <w:rFonts w:eastAsia="Century Schoolbook"/>
        </w:rPr>
      </w:pPr>
      <w:r>
        <w:rPr>
          <w:noProof/>
        </w:rPr>
        <w:drawing>
          <wp:inline distT="0" distB="0" distL="0" distR="0" wp14:anchorId="78AD59F7" wp14:editId="3A4451A4">
            <wp:extent cx="5029200" cy="3657600"/>
            <wp:effectExtent l="0" t="0" r="0" b="0"/>
            <wp:docPr id="3" name="Picture 3"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hart, bar chart&#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029200" cy="3657600"/>
                    </a:xfrm>
                    <a:prstGeom prst="rect">
                      <a:avLst/>
                    </a:prstGeom>
                    <a:noFill/>
                    <a:ln>
                      <a:noFill/>
                    </a:ln>
                  </pic:spPr>
                </pic:pic>
              </a:graphicData>
            </a:graphic>
          </wp:inline>
        </w:drawing>
      </w:r>
      <w:r w:rsidR="002347BA" w:rsidRPr="009F549F">
        <w:rPr>
          <w:rFonts w:eastAsia="Century Schoolbook"/>
        </w:rPr>
        <w:t xml:space="preserve"> </w:t>
      </w:r>
    </w:p>
    <w:p w14:paraId="7E52D70C" w14:textId="7E09F869" w:rsidR="007B1344" w:rsidRPr="009F549F" w:rsidRDefault="002347BA">
      <w:pPr>
        <w:spacing w:before="240" w:after="240"/>
        <w:ind w:firstLine="720"/>
        <w:jc w:val="both"/>
        <w:rPr>
          <w:rFonts w:eastAsia="Century Schoolbook"/>
        </w:rPr>
      </w:pPr>
      <w:r w:rsidRPr="009F549F">
        <w:rPr>
          <w:rFonts w:eastAsia="Century Schoolbook"/>
        </w:rPr>
        <w:t>We thus propose our ULTRA valuation method as a withholding mechanism to make Land’s retrospective approach feasible in terms of both administration and compliance</w:t>
      </w:r>
      <w:r w:rsidR="00D23305">
        <w:rPr>
          <w:rFonts w:ascii="Century Schoolbook" w:eastAsia="Century Schoolbook" w:hAnsi="Century Schoolbook" w:cs="Century Schoolbook"/>
        </w:rPr>
        <w:t xml:space="preserve"> and to combat gaming through aggressive valuation of interim distributions or through personal-level borrowing</w:t>
      </w:r>
      <w:r w:rsidRPr="00036097">
        <w:rPr>
          <w:rFonts w:eastAsia="Century Schoolbook"/>
        </w:rPr>
        <w:t>.</w:t>
      </w:r>
      <w:r w:rsidRPr="009F549F">
        <w:rPr>
          <w:rFonts w:eastAsia="Century Schoolbook"/>
        </w:rPr>
        <w:t xml:space="preserve"> We leave to future scholarship the tasks of more fully exploring whether Land’s approach is truly the best retrospective solution for being integrated with using our ULTRA valuation method as a withholding mechanism and </w:t>
      </w:r>
      <w:r w:rsidR="00244A7D">
        <w:rPr>
          <w:rFonts w:ascii="Century Schoolbook" w:eastAsia="Century Schoolbook" w:hAnsi="Century Schoolbook" w:cs="Century Schoolbook"/>
        </w:rPr>
        <w:t xml:space="preserve">also </w:t>
      </w:r>
      <w:r w:rsidRPr="009F549F">
        <w:rPr>
          <w:rFonts w:eastAsia="Century Schoolbook"/>
        </w:rPr>
        <w:t xml:space="preserve">of more fully exploring the details of implementing this integration. Our ULTRA valuation method could alternatively be integrated with other retrospective approaches, with our ULTRA valuation method similarly to be used as a withholding mechanism to solve otherwise vexing issues related to distributions, deemed distributions, and </w:t>
      </w:r>
      <w:r w:rsidRPr="009F549F">
        <w:rPr>
          <w:rFonts w:eastAsia="Century Schoolbook"/>
        </w:rPr>
        <w:lastRenderedPageBreak/>
        <w:t>other interim transactions.</w:t>
      </w:r>
      <w:r w:rsidR="00244A7D">
        <w:rPr>
          <w:rFonts w:ascii="Century Schoolbook" w:eastAsia="Century Schoolbook" w:hAnsi="Century Schoolbook" w:cs="Century Schoolbook"/>
        </w:rPr>
        <w:t xml:space="preserve"> Regardless of the retrospective approach used upon final resolution of the ULTRA, our ULTRA valuation method can manage interim distributions, contributions, and deemed distributions so as to greatly simplify administration and compliance</w:t>
      </w:r>
      <w:r w:rsidR="00D23305">
        <w:rPr>
          <w:rFonts w:ascii="Century Schoolbook" w:eastAsia="Century Schoolbook" w:hAnsi="Century Schoolbook" w:cs="Century Schoolbook"/>
        </w:rPr>
        <w:t xml:space="preserve"> and to combat taxpayer gaming</w:t>
      </w:r>
      <w:r w:rsidR="00244A7D">
        <w:rPr>
          <w:rFonts w:ascii="Century Schoolbook" w:eastAsia="Century Schoolbook" w:hAnsi="Century Schoolbook" w:cs="Century Schoolbook"/>
        </w:rPr>
        <w:t>.</w:t>
      </w:r>
    </w:p>
    <w:p w14:paraId="4B10E829" w14:textId="77777777" w:rsidR="007B1344" w:rsidRPr="009F549F" w:rsidRDefault="007B1344">
      <w:pPr>
        <w:spacing w:before="240" w:after="240"/>
        <w:ind w:firstLine="720"/>
        <w:jc w:val="both"/>
        <w:rPr>
          <w:rFonts w:eastAsia="Century Schoolbook"/>
        </w:rPr>
      </w:pPr>
    </w:p>
    <w:p w14:paraId="62A75006" w14:textId="77777777" w:rsidR="007B1344" w:rsidRPr="00036097" w:rsidRDefault="002347BA">
      <w:pPr>
        <w:spacing w:before="240" w:after="240"/>
        <w:ind w:firstLine="720"/>
        <w:jc w:val="both"/>
        <w:rPr>
          <w:rFonts w:eastAsia="Century Schoolbook"/>
          <w:b/>
        </w:rPr>
      </w:pPr>
      <w:r w:rsidRPr="00036097">
        <w:rPr>
          <w:rFonts w:eastAsia="Century Schoolbook"/>
          <w:b/>
        </w:rPr>
        <w:t>Transition Rules for Implementing a Mark-to-Market Reform</w:t>
      </w:r>
    </w:p>
    <w:p w14:paraId="47B5DBEF" w14:textId="1EB3ECC5" w:rsidR="007B1344" w:rsidRPr="00036097" w:rsidRDefault="002347BA">
      <w:pPr>
        <w:spacing w:before="240" w:after="240"/>
        <w:ind w:firstLine="720"/>
        <w:jc w:val="both"/>
        <w:rPr>
          <w:rFonts w:eastAsia="Century Schoolbook"/>
        </w:rPr>
      </w:pPr>
      <w:r w:rsidRPr="009F549F">
        <w:rPr>
          <w:rFonts w:eastAsia="Century Schoolbook"/>
        </w:rPr>
        <w:t>So far,</w:t>
      </w:r>
      <w:r w:rsidRPr="00036097">
        <w:rPr>
          <w:rFonts w:eastAsia="Century Schoolbook"/>
          <w:b/>
        </w:rPr>
        <w:t xml:space="preserve"> </w:t>
      </w:r>
      <w:r w:rsidRPr="00036097">
        <w:rPr>
          <w:rFonts w:eastAsia="Century Schoolbook"/>
        </w:rPr>
        <w:t xml:space="preserve">in our presentation of how an ULTRA might be integrated with a mark-to-market income tax reform, we </w:t>
      </w:r>
      <w:r w:rsidR="00ED13DE">
        <w:rPr>
          <w:rFonts w:eastAsia="Century Schoolbook"/>
        </w:rPr>
        <w:t xml:space="preserve">have </w:t>
      </w:r>
      <w:r w:rsidRPr="00036097">
        <w:rPr>
          <w:rFonts w:eastAsia="Century Schoolbook"/>
        </w:rPr>
        <w:t>left aside the question of how to transition from our current realization-based system into the mark-to-market regime. However, lawmakers who adopt a new mark-to-market law must also decide how to treat pre-enactment unrealized gains and losses in taxpayers</w:t>
      </w:r>
      <w:r w:rsidR="007A5C38" w:rsidRPr="00036097">
        <w:rPr>
          <w:rFonts w:eastAsia="Century Schoolbook"/>
        </w:rPr>
        <w:t>’</w:t>
      </w:r>
      <w:r w:rsidRPr="00036097">
        <w:rPr>
          <w:rFonts w:eastAsia="Century Schoolbook"/>
        </w:rPr>
        <w:t xml:space="preserve"> existing property (which tax lawyers call </w:t>
      </w:r>
      <w:r w:rsidR="007A5C38" w:rsidRPr="00036097">
        <w:rPr>
          <w:rFonts w:eastAsia="Century Schoolbook"/>
        </w:rPr>
        <w:t>“</w:t>
      </w:r>
      <w:r w:rsidRPr="00036097">
        <w:rPr>
          <w:rFonts w:eastAsia="Century Schoolbook"/>
        </w:rPr>
        <w:t>built in</w:t>
      </w:r>
      <w:r w:rsidR="007A5C38" w:rsidRPr="00036097">
        <w:rPr>
          <w:rFonts w:eastAsia="Century Schoolbook"/>
        </w:rPr>
        <w:t>”</w:t>
      </w:r>
      <w:r w:rsidRPr="00036097">
        <w:rPr>
          <w:rFonts w:eastAsia="Century Schoolbook"/>
        </w:rPr>
        <w:t xml:space="preserve"> gains and losses) at the time of the enactment of the new law and how to account for existing basis in such property. The ULTRA mechanism works readily with most feasible approaches to these questions. </w:t>
      </w:r>
    </w:p>
    <w:p w14:paraId="289F566B" w14:textId="294F388E" w:rsidR="007B1344" w:rsidRPr="00036097" w:rsidRDefault="002347BA">
      <w:pPr>
        <w:spacing w:before="240" w:after="240"/>
        <w:ind w:firstLine="720"/>
        <w:jc w:val="both"/>
        <w:rPr>
          <w:rFonts w:eastAsia="Century Schoolbook"/>
        </w:rPr>
      </w:pPr>
      <w:r w:rsidRPr="00036097">
        <w:rPr>
          <w:rFonts w:eastAsia="Century Schoolbook"/>
        </w:rPr>
        <w:t>Although we do not recommend this approach, one possibility is to implement a mark-to-market reform in a manner that would exclude pre-enactment built-in gains from the mark-to-market rules so that such gains would not be recognized until the assets are eventually sold. This approach poses risks for the government: by postponing most of the tax due until sale, it increases taxpayers</w:t>
      </w:r>
      <w:r w:rsidR="00DD3E35" w:rsidRPr="00036097">
        <w:rPr>
          <w:rFonts w:eastAsia="Century Schoolbook"/>
        </w:rPr>
        <w:t>’</w:t>
      </w:r>
      <w:r w:rsidRPr="00036097">
        <w:rPr>
          <w:rFonts w:eastAsia="Century Schoolbook"/>
        </w:rPr>
        <w:t xml:space="preserve"> political optionality and raises the odds that the property owner will not be liquid enough to pay all the resulting tax when </w:t>
      </w:r>
      <w:r w:rsidR="009168E7">
        <w:rPr>
          <w:rFonts w:eastAsia="Century Schoolbook"/>
        </w:rPr>
        <w:t>they</w:t>
      </w:r>
      <w:r w:rsidR="009168E7" w:rsidRPr="00036097">
        <w:rPr>
          <w:rFonts w:eastAsia="Century Schoolbook"/>
        </w:rPr>
        <w:t xml:space="preserve"> </w:t>
      </w:r>
      <w:r w:rsidRPr="00036097">
        <w:rPr>
          <w:rFonts w:eastAsia="Century Schoolbook"/>
        </w:rPr>
        <w:t xml:space="preserve">sell (although our ULTRA mechanism should limit liquidity problems by ensuring that tax plus interest charges never exceed the sale price). </w:t>
      </w:r>
    </w:p>
    <w:p w14:paraId="03C303F1" w14:textId="42242A5E" w:rsidR="007B1344" w:rsidRPr="00036097" w:rsidRDefault="002347BA">
      <w:pPr>
        <w:spacing w:before="240" w:after="240"/>
        <w:ind w:firstLine="720"/>
        <w:jc w:val="both"/>
        <w:rPr>
          <w:rFonts w:eastAsia="Century Schoolbook"/>
        </w:rPr>
      </w:pPr>
      <w:r w:rsidRPr="00036097">
        <w:rPr>
          <w:rFonts w:eastAsia="Century Schoolbook"/>
        </w:rPr>
        <w:t>In light of these concerns, the 2022 Billionaire Minimum Income Tax (</w:t>
      </w:r>
      <w:r w:rsidR="00DD3E35" w:rsidRPr="00036097">
        <w:rPr>
          <w:rFonts w:eastAsia="Century Schoolbook"/>
        </w:rPr>
        <w:t>“</w:t>
      </w:r>
      <w:r w:rsidRPr="00036097">
        <w:rPr>
          <w:rFonts w:eastAsia="Century Schoolbook"/>
        </w:rPr>
        <w:t>BMIT</w:t>
      </w:r>
      <w:r w:rsidR="00DD3E35" w:rsidRPr="00036097">
        <w:rPr>
          <w:rFonts w:eastAsia="Century Schoolbook"/>
        </w:rPr>
        <w:t>”</w:t>
      </w:r>
      <w:r w:rsidRPr="00036097">
        <w:rPr>
          <w:rFonts w:eastAsia="Century Schoolbook"/>
        </w:rPr>
        <w:t>) reform took somewhat of the opposite approach. If enacted, that bill would effectively require taxpayers to prepay tax on the full value of all their ULTRA assets, regardless of basis. Taxpayers would then get basis recovery at sale</w:t>
      </w:r>
      <w:r w:rsidR="00030EC4" w:rsidRPr="00036097">
        <w:rPr>
          <w:rFonts w:eastAsia="Century Schoolbook"/>
        </w:rPr>
        <w:t>—</w:t>
      </w:r>
      <w:r w:rsidRPr="00036097">
        <w:rPr>
          <w:rFonts w:eastAsia="Century Schoolbook"/>
        </w:rPr>
        <w:t xml:space="preserve">that is, taxpayers could get a refund to the extent that the taxed amounts exceeded built-in gains. More technically, for assets with pre-enactment built-in </w:t>
      </w:r>
      <w:r w:rsidRPr="00036097">
        <w:rPr>
          <w:rFonts w:eastAsia="Century Schoolbook"/>
        </w:rPr>
        <w:lastRenderedPageBreak/>
        <w:t>gains attached to an ULTRA in the year following enactment, the bill would impose an initial ULTRA notional equity percentage equal to 20</w:t>
      </w:r>
      <w:r w:rsidR="00030EC4" w:rsidRPr="00036097">
        <w:rPr>
          <w:rFonts w:eastAsia="Century Schoolbook"/>
        </w:rPr>
        <w:t xml:space="preserve"> percent</w:t>
      </w:r>
      <w:r w:rsidRPr="00036097">
        <w:rPr>
          <w:rFonts w:eastAsia="Century Schoolbook"/>
        </w:rPr>
        <w:t xml:space="preserve"> (the effective capital</w:t>
      </w:r>
      <w:r w:rsidR="00030EC4" w:rsidRPr="00036097">
        <w:rPr>
          <w:rFonts w:eastAsia="Century Schoolbook"/>
        </w:rPr>
        <w:t xml:space="preserve"> </w:t>
      </w:r>
      <w:r w:rsidRPr="00036097">
        <w:rPr>
          <w:rFonts w:eastAsia="Century Schoolbook"/>
        </w:rPr>
        <w:t xml:space="preserve">gains rate for the BMIT). Prepayments would then technically be due immediately (in that first year following enactment), but to ease liquidity burdens the bill would allow taxpayers to pay over a nine-year payment period. This approach was designed to </w:t>
      </w:r>
      <w:r w:rsidR="00C7148C">
        <w:rPr>
          <w:rFonts w:eastAsia="Century Schoolbook"/>
        </w:rPr>
        <w:t>alleviate</w:t>
      </w:r>
      <w:r w:rsidRPr="00036097">
        <w:rPr>
          <w:rFonts w:eastAsia="Century Schoolbook"/>
        </w:rPr>
        <w:t xml:space="preserve"> political optionality and, by setting aside basis entirely, eliminate some potential complications that could otherwise arise if taxpayers had to continually recalculate their basis each year.     </w:t>
      </w:r>
    </w:p>
    <w:p w14:paraId="6B7AE973" w14:textId="77777777" w:rsidR="007B1344" w:rsidRPr="00036097" w:rsidRDefault="002347BA">
      <w:pPr>
        <w:spacing w:before="240" w:after="240"/>
        <w:jc w:val="both"/>
        <w:rPr>
          <w:rFonts w:eastAsia="Century Schoolbook"/>
          <w:i/>
        </w:rPr>
      </w:pPr>
      <w:r w:rsidRPr="00036097">
        <w:rPr>
          <w:rFonts w:eastAsia="Century Schoolbook"/>
          <w:i/>
        </w:rPr>
        <w:t xml:space="preserve">BMIT Transition ULTRA Example </w:t>
      </w:r>
    </w:p>
    <w:p w14:paraId="655AC3C1" w14:textId="6062FFD2" w:rsidR="007B1344" w:rsidRPr="00036097" w:rsidRDefault="002347BA">
      <w:pPr>
        <w:spacing w:before="240" w:after="240"/>
        <w:ind w:left="720"/>
        <w:jc w:val="both"/>
        <w:rPr>
          <w:rFonts w:eastAsia="Century Schoolbook"/>
        </w:rPr>
      </w:pPr>
      <w:proofErr w:type="spellStart"/>
      <w:r w:rsidRPr="00036097">
        <w:rPr>
          <w:rFonts w:eastAsia="Century Schoolbook"/>
        </w:rPr>
        <w:t>Marff</w:t>
      </w:r>
      <w:proofErr w:type="spellEnd"/>
      <w:r w:rsidRPr="00036097">
        <w:rPr>
          <w:rFonts w:eastAsia="Century Schoolbook"/>
        </w:rPr>
        <w:t xml:space="preserve"> holds </w:t>
      </w:r>
      <w:proofErr w:type="spellStart"/>
      <w:r w:rsidRPr="00036097">
        <w:rPr>
          <w:rFonts w:eastAsia="Century Schoolbook"/>
        </w:rPr>
        <w:t>Spacebook</w:t>
      </w:r>
      <w:proofErr w:type="spellEnd"/>
      <w:r w:rsidRPr="00036097">
        <w:rPr>
          <w:rFonts w:eastAsia="Century Schoolbook"/>
        </w:rPr>
        <w:t xml:space="preserve"> stock in 2022 with </w:t>
      </w:r>
      <w:r w:rsidR="00D44B87">
        <w:rPr>
          <w:rFonts w:eastAsia="Century Schoolbook"/>
        </w:rPr>
        <w:t xml:space="preserve">an </w:t>
      </w:r>
      <w:r w:rsidRPr="00036097">
        <w:rPr>
          <w:rFonts w:eastAsia="Century Schoolbook"/>
        </w:rPr>
        <w:t xml:space="preserve">estimated value </w:t>
      </w:r>
      <w:r w:rsidR="00D44B87">
        <w:rPr>
          <w:rFonts w:eastAsia="Century Schoolbook"/>
        </w:rPr>
        <w:t xml:space="preserve">of </w:t>
      </w:r>
      <w:r w:rsidRPr="00036097">
        <w:rPr>
          <w:rFonts w:eastAsia="Century Schoolbook"/>
        </w:rPr>
        <w:t>$2</w:t>
      </w:r>
      <w:r w:rsidR="00CA1E44" w:rsidRPr="00036097">
        <w:rPr>
          <w:rFonts w:eastAsia="Century Schoolbook"/>
        </w:rPr>
        <w:t xml:space="preserve"> billion</w:t>
      </w:r>
      <w:r w:rsidRPr="00036097">
        <w:rPr>
          <w:rFonts w:eastAsia="Century Schoolbook"/>
        </w:rPr>
        <w:t xml:space="preserve"> and </w:t>
      </w:r>
      <w:r w:rsidR="00D44B87">
        <w:rPr>
          <w:rFonts w:eastAsia="Century Schoolbook"/>
        </w:rPr>
        <w:t xml:space="preserve">a </w:t>
      </w:r>
      <w:r w:rsidRPr="00036097">
        <w:rPr>
          <w:rFonts w:eastAsia="Century Schoolbook"/>
        </w:rPr>
        <w:t>basis of $1</w:t>
      </w:r>
      <w:r w:rsidR="00CA1E44" w:rsidRPr="00036097">
        <w:rPr>
          <w:rFonts w:eastAsia="Century Schoolbook"/>
        </w:rPr>
        <w:t xml:space="preserve"> billion</w:t>
      </w:r>
      <w:r w:rsidRPr="00036097">
        <w:rPr>
          <w:rFonts w:eastAsia="Century Schoolbook"/>
        </w:rPr>
        <w:t>. There is a newly</w:t>
      </w:r>
      <w:r w:rsidR="0014164D" w:rsidRPr="00036097">
        <w:rPr>
          <w:rFonts w:eastAsia="Century Schoolbook"/>
        </w:rPr>
        <w:t xml:space="preserve"> </w:t>
      </w:r>
      <w:r w:rsidRPr="00036097">
        <w:rPr>
          <w:rFonts w:eastAsia="Century Schoolbook"/>
        </w:rPr>
        <w:t>adopted 20</w:t>
      </w:r>
      <w:r w:rsidR="00CA1E44" w:rsidRPr="00036097">
        <w:rPr>
          <w:rFonts w:eastAsia="Century Schoolbook"/>
        </w:rPr>
        <w:t xml:space="preserve"> percent</w:t>
      </w:r>
      <w:r w:rsidRPr="00036097">
        <w:rPr>
          <w:rFonts w:eastAsia="Century Schoolbook"/>
        </w:rPr>
        <w:t xml:space="preserve"> mark-to-market income tax rate on investment assets effective Jan</w:t>
      </w:r>
      <w:r w:rsidR="00CA1E44" w:rsidRPr="00036097">
        <w:rPr>
          <w:rFonts w:eastAsia="Century Schoolbook"/>
        </w:rPr>
        <w:t>uary</w:t>
      </w:r>
      <w:r w:rsidRPr="00036097">
        <w:rPr>
          <w:rFonts w:eastAsia="Century Schoolbook"/>
        </w:rPr>
        <w:t xml:space="preserve"> 1</w:t>
      </w:r>
      <w:r w:rsidR="00CA1E44" w:rsidRPr="00036097">
        <w:rPr>
          <w:rFonts w:eastAsia="Century Schoolbook"/>
        </w:rPr>
        <w:t>,</w:t>
      </w:r>
      <w:r w:rsidRPr="00036097">
        <w:rPr>
          <w:rFonts w:eastAsia="Century Schoolbook"/>
        </w:rPr>
        <w:t xml:space="preserve"> 2022, but </w:t>
      </w:r>
      <w:proofErr w:type="spellStart"/>
      <w:r w:rsidRPr="00036097">
        <w:rPr>
          <w:rFonts w:eastAsia="Century Schoolbook"/>
        </w:rPr>
        <w:t>Marff’s</w:t>
      </w:r>
      <w:proofErr w:type="spellEnd"/>
      <w:r w:rsidRPr="00036097">
        <w:rPr>
          <w:rFonts w:eastAsia="Century Schoolbook"/>
        </w:rPr>
        <w:t xml:space="preserve"> stock is not publicly traded and qualifies for the ULTRA</w:t>
      </w:r>
      <w:r w:rsidR="00B83829">
        <w:rPr>
          <w:rFonts w:eastAsia="Century Schoolbook"/>
        </w:rPr>
        <w:t xml:space="preserve"> </w:t>
      </w:r>
      <w:r w:rsidRPr="00036097">
        <w:rPr>
          <w:rFonts w:eastAsia="Century Schoolbook"/>
        </w:rPr>
        <w:t>withholding regime</w:t>
      </w:r>
      <w:r w:rsidR="00D44B87">
        <w:rPr>
          <w:rFonts w:eastAsia="Century Schoolbook"/>
        </w:rPr>
        <w:t>,</w:t>
      </w:r>
      <w:r w:rsidRPr="00036097">
        <w:rPr>
          <w:rFonts w:eastAsia="Century Schoolbook"/>
        </w:rPr>
        <w:t xml:space="preserve"> with Land’s retrospective proposal then applying upon final sale or disposition. </w:t>
      </w:r>
      <w:proofErr w:type="spellStart"/>
      <w:r w:rsidRPr="00036097">
        <w:rPr>
          <w:rFonts w:eastAsia="Century Schoolbook"/>
        </w:rPr>
        <w:t>Marff</w:t>
      </w:r>
      <w:proofErr w:type="spellEnd"/>
      <w:r w:rsidRPr="00036097">
        <w:rPr>
          <w:rFonts w:eastAsia="Century Schoolbook"/>
        </w:rPr>
        <w:t xml:space="preserve"> opts to hold the stock </w:t>
      </w:r>
      <w:r w:rsidR="00365CAC">
        <w:rPr>
          <w:rFonts w:eastAsia="Century Schoolbook"/>
        </w:rPr>
        <w:t>subject to an</w:t>
      </w:r>
      <w:r w:rsidRPr="00036097">
        <w:rPr>
          <w:rFonts w:eastAsia="Century Schoolbook"/>
        </w:rPr>
        <w:t xml:space="preserve"> ULTRA in 2022. He then receives a dividend of $200</w:t>
      </w:r>
      <w:r w:rsidR="00C059F9" w:rsidRPr="00036097">
        <w:rPr>
          <w:rFonts w:eastAsia="Century Schoolbook"/>
        </w:rPr>
        <w:t xml:space="preserve"> million</w:t>
      </w:r>
      <w:r w:rsidRPr="00036097">
        <w:rPr>
          <w:rFonts w:eastAsia="Century Schoolbook"/>
        </w:rPr>
        <w:t xml:space="preserve"> on Jan</w:t>
      </w:r>
      <w:r w:rsidR="00C059F9" w:rsidRPr="00036097">
        <w:rPr>
          <w:rFonts w:eastAsia="Century Schoolbook"/>
        </w:rPr>
        <w:t>uary</w:t>
      </w:r>
      <w:r w:rsidRPr="00036097">
        <w:rPr>
          <w:rFonts w:eastAsia="Century Schoolbook"/>
        </w:rPr>
        <w:t xml:space="preserve"> 1</w:t>
      </w:r>
      <w:r w:rsidR="00C059F9" w:rsidRPr="00036097">
        <w:rPr>
          <w:rFonts w:eastAsia="Century Schoolbook"/>
        </w:rPr>
        <w:t>,</w:t>
      </w:r>
      <w:r w:rsidRPr="00036097">
        <w:rPr>
          <w:rFonts w:eastAsia="Century Schoolbook"/>
        </w:rPr>
        <w:t xml:space="preserve"> 2023, and finally sells the stock on January 1</w:t>
      </w:r>
      <w:r w:rsidR="00C059F9" w:rsidRPr="00036097">
        <w:rPr>
          <w:rFonts w:eastAsia="Century Schoolbook"/>
        </w:rPr>
        <w:t>,</w:t>
      </w:r>
      <w:r w:rsidRPr="00036097">
        <w:rPr>
          <w:rFonts w:eastAsia="Century Schoolbook"/>
        </w:rPr>
        <w:t xml:space="preserve"> 2024</w:t>
      </w:r>
      <w:r w:rsidR="00C059F9" w:rsidRPr="00036097">
        <w:rPr>
          <w:rFonts w:eastAsia="Century Schoolbook"/>
        </w:rPr>
        <w:t>,</w:t>
      </w:r>
      <w:r w:rsidRPr="00036097">
        <w:rPr>
          <w:rFonts w:eastAsia="Century Schoolbook"/>
        </w:rPr>
        <w:t xml:space="preserve"> for $1.8</w:t>
      </w:r>
      <w:r w:rsidR="00C059F9" w:rsidRPr="00036097">
        <w:rPr>
          <w:rFonts w:eastAsia="Century Schoolbook"/>
        </w:rPr>
        <w:t xml:space="preserve"> billion</w:t>
      </w:r>
      <w:r w:rsidRPr="00036097">
        <w:rPr>
          <w:rFonts w:eastAsia="Century Schoolbook"/>
        </w:rPr>
        <w:t>. The presumptive rate of return is 5</w:t>
      </w:r>
      <w:r w:rsidR="00C059F9" w:rsidRPr="00036097">
        <w:rPr>
          <w:rFonts w:eastAsia="Century Schoolbook"/>
        </w:rPr>
        <w:t xml:space="preserve"> percent</w:t>
      </w:r>
      <w:r w:rsidRPr="00036097">
        <w:rPr>
          <w:rFonts w:eastAsia="Century Schoolbook"/>
        </w:rPr>
        <w:t xml:space="preserve"> annually for all years.</w:t>
      </w:r>
    </w:p>
    <w:p w14:paraId="6614C15E" w14:textId="134259C1" w:rsidR="007B1344" w:rsidRPr="00036097" w:rsidRDefault="002347BA">
      <w:pPr>
        <w:spacing w:before="240" w:after="240"/>
        <w:ind w:left="720"/>
        <w:jc w:val="both"/>
        <w:rPr>
          <w:rFonts w:eastAsia="Century Schoolbook"/>
        </w:rPr>
      </w:pPr>
      <w:r w:rsidRPr="00036097">
        <w:rPr>
          <w:rFonts w:eastAsia="Century Schoolbook"/>
          <w:b/>
        </w:rPr>
        <w:t>Results in 2022</w:t>
      </w:r>
      <w:r w:rsidRPr="00036097">
        <w:rPr>
          <w:rFonts w:eastAsia="Century Schoolbook"/>
        </w:rPr>
        <w:t>: When the new mark-to-market law is adopted, the government begins with an ULTRA equal to the tax rate, or 20</w:t>
      </w:r>
      <w:r w:rsidR="00C059F9" w:rsidRPr="00036097">
        <w:rPr>
          <w:rFonts w:eastAsia="Century Schoolbook"/>
        </w:rPr>
        <w:t xml:space="preserve"> percent</w:t>
      </w:r>
      <w:r w:rsidRPr="00036097">
        <w:rPr>
          <w:rFonts w:eastAsia="Century Schoolbook"/>
        </w:rPr>
        <w:t xml:space="preserve">, attached to the stock assets. </w:t>
      </w:r>
      <w:proofErr w:type="spellStart"/>
      <w:r w:rsidRPr="00036097">
        <w:rPr>
          <w:rFonts w:eastAsia="Century Schoolbook"/>
        </w:rPr>
        <w:t>Marff</w:t>
      </w:r>
      <w:proofErr w:type="spellEnd"/>
      <w:r w:rsidRPr="00036097">
        <w:rPr>
          <w:rFonts w:eastAsia="Century Schoolbook"/>
        </w:rPr>
        <w:t xml:space="preserve"> then increases the ULTRA share to reflect the expected growth during 2022. The government share is only based on the growth in </w:t>
      </w:r>
      <w:proofErr w:type="spellStart"/>
      <w:r w:rsidRPr="00036097">
        <w:rPr>
          <w:rFonts w:eastAsia="Century Schoolbook"/>
        </w:rPr>
        <w:t>Marff</w:t>
      </w:r>
      <w:r w:rsidR="00D44B87">
        <w:rPr>
          <w:rFonts w:eastAsia="Century Schoolbook"/>
        </w:rPr>
        <w:t>’</w:t>
      </w:r>
      <w:r w:rsidRPr="00036097">
        <w:rPr>
          <w:rFonts w:eastAsia="Century Schoolbook"/>
        </w:rPr>
        <w:t>s</w:t>
      </w:r>
      <w:proofErr w:type="spellEnd"/>
      <w:r w:rsidRPr="00036097">
        <w:rPr>
          <w:rFonts w:eastAsia="Century Schoolbook"/>
        </w:rPr>
        <w:t xml:space="preserve"> remaining share of the stock, so it is equal to (20</w:t>
      </w:r>
      <w:r w:rsidR="00C059F9" w:rsidRPr="00036097">
        <w:rPr>
          <w:rFonts w:eastAsia="Century Schoolbook"/>
        </w:rPr>
        <w:t xml:space="preserve"> percent</w:t>
      </w:r>
      <w:r w:rsidRPr="00036097">
        <w:rPr>
          <w:rFonts w:eastAsia="Century Schoolbook"/>
        </w:rPr>
        <w:t xml:space="preserve"> </w:t>
      </w:r>
      <w:r w:rsidR="00D44B87">
        <w:rPr>
          <w:rFonts w:eastAsia="Century Schoolbook"/>
        </w:rPr>
        <w:t>×</w:t>
      </w:r>
      <w:r w:rsidRPr="00036097">
        <w:rPr>
          <w:rFonts w:eastAsia="Century Schoolbook"/>
        </w:rPr>
        <w:t xml:space="preserve"> 5</w:t>
      </w:r>
      <w:r w:rsidR="00C059F9" w:rsidRPr="00036097">
        <w:rPr>
          <w:rFonts w:eastAsia="Century Schoolbook"/>
        </w:rPr>
        <w:t xml:space="preserve"> percent</w:t>
      </w:r>
      <w:r w:rsidRPr="00036097">
        <w:rPr>
          <w:rFonts w:eastAsia="Century Schoolbook"/>
        </w:rPr>
        <w:t xml:space="preserve">) </w:t>
      </w:r>
      <w:r w:rsidR="00D44B87">
        <w:rPr>
          <w:rFonts w:eastAsia="Century Schoolbook"/>
        </w:rPr>
        <w:t>×</w:t>
      </w:r>
      <w:r w:rsidRPr="00036097">
        <w:rPr>
          <w:rFonts w:eastAsia="Century Schoolbook"/>
        </w:rPr>
        <w:t xml:space="preserve"> (100</w:t>
      </w:r>
      <w:r w:rsidR="00C059F9" w:rsidRPr="00036097">
        <w:rPr>
          <w:rFonts w:eastAsia="Century Schoolbook"/>
        </w:rPr>
        <w:t xml:space="preserve"> percent</w:t>
      </w:r>
      <w:r w:rsidRPr="00036097">
        <w:rPr>
          <w:rFonts w:eastAsia="Century Schoolbook"/>
        </w:rPr>
        <w:t xml:space="preserve"> </w:t>
      </w:r>
      <w:r w:rsidR="00D44B87">
        <w:rPr>
          <w:rFonts w:eastAsia="Century Schoolbook"/>
        </w:rPr>
        <w:t>−</w:t>
      </w:r>
      <w:r w:rsidRPr="00036097">
        <w:rPr>
          <w:rFonts w:eastAsia="Century Schoolbook"/>
        </w:rPr>
        <w:t xml:space="preserve"> 20</w:t>
      </w:r>
      <w:r w:rsidR="00C059F9" w:rsidRPr="00036097">
        <w:rPr>
          <w:rFonts w:eastAsia="Century Schoolbook"/>
        </w:rPr>
        <w:t xml:space="preserve"> percent</w:t>
      </w:r>
      <w:r w:rsidRPr="00036097">
        <w:rPr>
          <w:rFonts w:eastAsia="Century Schoolbook"/>
        </w:rPr>
        <w:t xml:space="preserve">) = </w:t>
      </w:r>
      <w:r w:rsidR="00D44B87">
        <w:rPr>
          <w:rFonts w:eastAsia="Century Schoolbook"/>
        </w:rPr>
        <w:t>0</w:t>
      </w:r>
      <w:r w:rsidRPr="00036097">
        <w:rPr>
          <w:rFonts w:eastAsia="Century Schoolbook"/>
        </w:rPr>
        <w:t>.8</w:t>
      </w:r>
      <w:r w:rsidR="00337AAF" w:rsidRPr="00036097">
        <w:rPr>
          <w:rFonts w:eastAsia="Century Schoolbook"/>
        </w:rPr>
        <w:t xml:space="preserve"> percent</w:t>
      </w:r>
      <w:r w:rsidRPr="00036097">
        <w:rPr>
          <w:rFonts w:eastAsia="Century Schoolbook"/>
        </w:rPr>
        <w:t>, for a total of 20.8</w:t>
      </w:r>
      <w:r w:rsidR="00337AAF" w:rsidRPr="00036097">
        <w:rPr>
          <w:rFonts w:eastAsia="Century Schoolbook"/>
        </w:rPr>
        <w:t xml:space="preserve"> percent</w:t>
      </w:r>
      <w:r w:rsidRPr="00036097">
        <w:rPr>
          <w:rFonts w:eastAsia="Century Schoolbook"/>
        </w:rPr>
        <w:t xml:space="preserve">. If </w:t>
      </w:r>
      <w:proofErr w:type="spellStart"/>
      <w:r w:rsidRPr="00036097">
        <w:rPr>
          <w:rFonts w:eastAsia="Century Schoolbook"/>
        </w:rPr>
        <w:t>Marff</w:t>
      </w:r>
      <w:proofErr w:type="spellEnd"/>
      <w:r w:rsidRPr="00036097">
        <w:rPr>
          <w:rFonts w:eastAsia="Century Schoolbook"/>
        </w:rPr>
        <w:t xml:space="preserve"> does not qualify for relief from prepaying estimated taxes due to liquidity constraints or otherwise, then </w:t>
      </w:r>
      <w:proofErr w:type="spellStart"/>
      <w:r w:rsidRPr="00036097">
        <w:rPr>
          <w:rFonts w:eastAsia="Century Schoolbook"/>
        </w:rPr>
        <w:t>Marff</w:t>
      </w:r>
      <w:proofErr w:type="spellEnd"/>
      <w:r w:rsidRPr="00036097">
        <w:rPr>
          <w:rFonts w:eastAsia="Century Schoolbook"/>
        </w:rPr>
        <w:t xml:space="preserve"> should be required to make a withholding prepayment of 20.8</w:t>
      </w:r>
      <w:r w:rsidR="00337AAF" w:rsidRPr="00036097">
        <w:rPr>
          <w:rFonts w:eastAsia="Century Schoolbook"/>
        </w:rPr>
        <w:t xml:space="preserve"> percent</w:t>
      </w:r>
      <w:r w:rsidRPr="00036097">
        <w:rPr>
          <w:rFonts w:eastAsia="Century Schoolbook"/>
        </w:rPr>
        <w:t xml:space="preserve"> of the estimated value of the assets, with that estimation made via a simplified approach for valuation. Assuming that estimated value is $2</w:t>
      </w:r>
      <w:r w:rsidR="00337AAF" w:rsidRPr="00036097">
        <w:rPr>
          <w:rFonts w:eastAsia="Century Schoolbook"/>
        </w:rPr>
        <w:t xml:space="preserve"> billion</w:t>
      </w:r>
      <w:r w:rsidRPr="00036097">
        <w:rPr>
          <w:rFonts w:eastAsia="Century Schoolbook"/>
        </w:rPr>
        <w:t xml:space="preserve">, </w:t>
      </w:r>
      <w:proofErr w:type="spellStart"/>
      <w:r w:rsidRPr="00036097">
        <w:rPr>
          <w:rFonts w:eastAsia="Century Schoolbook"/>
        </w:rPr>
        <w:t>Marff</w:t>
      </w:r>
      <w:proofErr w:type="spellEnd"/>
      <w:r w:rsidRPr="00036097">
        <w:rPr>
          <w:rFonts w:eastAsia="Century Schoolbook"/>
        </w:rPr>
        <w:t xml:space="preserve"> would then make prepayments of $416</w:t>
      </w:r>
      <w:r w:rsidR="00337AAF" w:rsidRPr="00036097">
        <w:rPr>
          <w:rFonts w:eastAsia="Century Schoolbook"/>
        </w:rPr>
        <w:t xml:space="preserve"> million</w:t>
      </w:r>
      <w:r w:rsidRPr="00036097">
        <w:rPr>
          <w:rFonts w:eastAsia="Century Schoolbook"/>
        </w:rPr>
        <w:t xml:space="preserve"> (20.8</w:t>
      </w:r>
      <w:r w:rsidR="00337AAF" w:rsidRPr="00036097">
        <w:rPr>
          <w:rFonts w:eastAsia="Century Schoolbook"/>
        </w:rPr>
        <w:t xml:space="preserve"> percent</w:t>
      </w:r>
      <w:r w:rsidRPr="00036097">
        <w:rPr>
          <w:rFonts w:eastAsia="Century Schoolbook"/>
        </w:rPr>
        <w:t xml:space="preserve"> of $2</w:t>
      </w:r>
      <w:r w:rsidR="00337AAF" w:rsidRPr="00036097">
        <w:rPr>
          <w:rFonts w:eastAsia="Century Schoolbook"/>
        </w:rPr>
        <w:t xml:space="preserve"> billion</w:t>
      </w:r>
      <w:r w:rsidRPr="00036097">
        <w:rPr>
          <w:rFonts w:eastAsia="Century Schoolbook"/>
        </w:rPr>
        <w:t>).</w:t>
      </w:r>
    </w:p>
    <w:p w14:paraId="454B0F76" w14:textId="641DEAD2" w:rsidR="007B1344" w:rsidRPr="00036097" w:rsidRDefault="002347BA">
      <w:pPr>
        <w:spacing w:before="240" w:after="240"/>
        <w:ind w:left="720"/>
        <w:jc w:val="both"/>
        <w:rPr>
          <w:rFonts w:eastAsia="Century Schoolbook"/>
        </w:rPr>
      </w:pPr>
      <w:r w:rsidRPr="00036097">
        <w:rPr>
          <w:rFonts w:eastAsia="Century Schoolbook"/>
          <w:b/>
        </w:rPr>
        <w:t>Results in 2023</w:t>
      </w:r>
      <w:r w:rsidRPr="00036097">
        <w:rPr>
          <w:rFonts w:eastAsia="Century Schoolbook"/>
        </w:rPr>
        <w:t xml:space="preserve">: When </w:t>
      </w:r>
      <w:proofErr w:type="spellStart"/>
      <w:r w:rsidRPr="00036097">
        <w:rPr>
          <w:rFonts w:eastAsia="Century Schoolbook"/>
        </w:rPr>
        <w:t>Marff</w:t>
      </w:r>
      <w:proofErr w:type="spellEnd"/>
      <w:r w:rsidRPr="00036097">
        <w:rPr>
          <w:rFonts w:eastAsia="Century Schoolbook"/>
        </w:rPr>
        <w:t xml:space="preserve"> receives the dividend, the government</w:t>
      </w:r>
      <w:r w:rsidR="00D44B87">
        <w:rPr>
          <w:rFonts w:eastAsia="Century Schoolbook"/>
        </w:rPr>
        <w:t>’</w:t>
      </w:r>
      <w:r w:rsidRPr="00036097">
        <w:rPr>
          <w:rFonts w:eastAsia="Century Schoolbook"/>
        </w:rPr>
        <w:t>s notional share is 20.8</w:t>
      </w:r>
      <w:r w:rsidR="00337AAF" w:rsidRPr="00036097">
        <w:rPr>
          <w:rFonts w:eastAsia="Century Schoolbook"/>
        </w:rPr>
        <w:t xml:space="preserve"> percent</w:t>
      </w:r>
      <w:r w:rsidRPr="00036097">
        <w:rPr>
          <w:rFonts w:eastAsia="Century Schoolbook"/>
        </w:rPr>
        <w:t xml:space="preserve">. Accordingly, </w:t>
      </w:r>
      <w:proofErr w:type="spellStart"/>
      <w:r w:rsidRPr="00036097">
        <w:rPr>
          <w:rFonts w:eastAsia="Century Schoolbook"/>
        </w:rPr>
        <w:t>Marff</w:t>
      </w:r>
      <w:proofErr w:type="spellEnd"/>
      <w:r w:rsidRPr="00036097">
        <w:rPr>
          <w:rFonts w:eastAsia="Century Schoolbook"/>
        </w:rPr>
        <w:t xml:space="preserve"> must make a prepayment </w:t>
      </w:r>
      <w:r w:rsidRPr="00036097">
        <w:rPr>
          <w:rFonts w:eastAsia="Century Schoolbook"/>
        </w:rPr>
        <w:lastRenderedPageBreak/>
        <w:t>of 20.8</w:t>
      </w:r>
      <w:r w:rsidR="00337AAF" w:rsidRPr="00036097">
        <w:rPr>
          <w:rFonts w:eastAsia="Century Schoolbook"/>
        </w:rPr>
        <w:t xml:space="preserve"> percent</w:t>
      </w:r>
      <w:r w:rsidRPr="00036097">
        <w:rPr>
          <w:rFonts w:eastAsia="Century Schoolbook"/>
        </w:rPr>
        <w:t xml:space="preserve"> of $200</w:t>
      </w:r>
      <w:r w:rsidR="00337AAF" w:rsidRPr="00036097">
        <w:rPr>
          <w:rFonts w:eastAsia="Century Schoolbook"/>
        </w:rPr>
        <w:t xml:space="preserve"> million,</w:t>
      </w:r>
      <w:r w:rsidRPr="00036097">
        <w:rPr>
          <w:rFonts w:eastAsia="Century Schoolbook"/>
        </w:rPr>
        <w:t xml:space="preserve"> or $41.6</w:t>
      </w:r>
      <w:r w:rsidR="00337AAF" w:rsidRPr="00036097">
        <w:rPr>
          <w:rFonts w:eastAsia="Century Schoolbook"/>
        </w:rPr>
        <w:t xml:space="preserve"> million</w:t>
      </w:r>
      <w:r w:rsidRPr="00036097">
        <w:rPr>
          <w:rFonts w:eastAsia="Century Schoolbook"/>
        </w:rPr>
        <w:t xml:space="preserve">, with his tax return for the 2023 tax year. At the end </w:t>
      </w:r>
      <w:r w:rsidR="00D44B87">
        <w:rPr>
          <w:rFonts w:eastAsia="Century Schoolbook"/>
        </w:rPr>
        <w:t>of</w:t>
      </w:r>
      <w:r w:rsidRPr="00036097">
        <w:rPr>
          <w:rFonts w:eastAsia="Century Schoolbook"/>
        </w:rPr>
        <w:t xml:space="preserve"> 2023, the government</w:t>
      </w:r>
      <w:r w:rsidR="00D44B87">
        <w:rPr>
          <w:rFonts w:eastAsia="Century Schoolbook"/>
        </w:rPr>
        <w:t>’</w:t>
      </w:r>
      <w:r w:rsidRPr="00036097">
        <w:rPr>
          <w:rFonts w:eastAsia="Century Schoolbook"/>
        </w:rPr>
        <w:t>s share increases again, rising by (20</w:t>
      </w:r>
      <w:r w:rsidR="00337AAF" w:rsidRPr="00036097">
        <w:rPr>
          <w:rFonts w:eastAsia="Century Schoolbook"/>
        </w:rPr>
        <w:t xml:space="preserve"> percent</w:t>
      </w:r>
      <w:r w:rsidRPr="00036097">
        <w:rPr>
          <w:rFonts w:eastAsia="Century Schoolbook"/>
        </w:rPr>
        <w:t xml:space="preserve"> </w:t>
      </w:r>
      <w:r w:rsidR="00D44B87">
        <w:rPr>
          <w:rFonts w:eastAsia="Century Schoolbook"/>
        </w:rPr>
        <w:t>×</w:t>
      </w:r>
      <w:r w:rsidRPr="00036097">
        <w:rPr>
          <w:rFonts w:eastAsia="Century Schoolbook"/>
        </w:rPr>
        <w:t xml:space="preserve"> 5</w:t>
      </w:r>
      <w:r w:rsidR="00337AAF" w:rsidRPr="00036097">
        <w:rPr>
          <w:rFonts w:eastAsia="Century Schoolbook"/>
        </w:rPr>
        <w:t xml:space="preserve"> percent</w:t>
      </w:r>
      <w:r w:rsidRPr="00036097">
        <w:rPr>
          <w:rFonts w:eastAsia="Century Schoolbook"/>
        </w:rPr>
        <w:t xml:space="preserve">) </w:t>
      </w:r>
      <w:r w:rsidR="00D44B87">
        <w:rPr>
          <w:rFonts w:eastAsia="Century Schoolbook"/>
        </w:rPr>
        <w:t>×</w:t>
      </w:r>
      <w:r w:rsidRPr="00036097">
        <w:rPr>
          <w:rFonts w:eastAsia="Century Schoolbook"/>
        </w:rPr>
        <w:t xml:space="preserve"> (100</w:t>
      </w:r>
      <w:r w:rsidR="00337AAF" w:rsidRPr="00036097">
        <w:rPr>
          <w:rFonts w:eastAsia="Century Schoolbook"/>
        </w:rPr>
        <w:t xml:space="preserve"> percent</w:t>
      </w:r>
      <w:r w:rsidRPr="00036097">
        <w:rPr>
          <w:rFonts w:eastAsia="Century Schoolbook"/>
        </w:rPr>
        <w:t xml:space="preserve"> </w:t>
      </w:r>
      <w:r w:rsidR="00D44B87">
        <w:rPr>
          <w:rFonts w:eastAsia="Century Schoolbook"/>
        </w:rPr>
        <w:t>−</w:t>
      </w:r>
      <w:r w:rsidRPr="00036097">
        <w:rPr>
          <w:rFonts w:eastAsia="Century Schoolbook"/>
        </w:rPr>
        <w:t xml:space="preserve"> 20.8</w:t>
      </w:r>
      <w:r w:rsidR="00337AAF" w:rsidRPr="00036097">
        <w:rPr>
          <w:rFonts w:eastAsia="Century Schoolbook"/>
        </w:rPr>
        <w:t xml:space="preserve"> percent</w:t>
      </w:r>
      <w:r w:rsidRPr="00036097">
        <w:rPr>
          <w:rFonts w:eastAsia="Century Schoolbook"/>
        </w:rPr>
        <w:t xml:space="preserve">) = </w:t>
      </w:r>
      <w:r w:rsidR="00F36137">
        <w:rPr>
          <w:rFonts w:eastAsia="Century Schoolbook"/>
        </w:rPr>
        <w:t>0</w:t>
      </w:r>
      <w:r w:rsidRPr="00036097">
        <w:rPr>
          <w:rFonts w:eastAsia="Century Schoolbook"/>
        </w:rPr>
        <w:t>.792</w:t>
      </w:r>
      <w:r w:rsidR="00337AAF" w:rsidRPr="00036097">
        <w:rPr>
          <w:rFonts w:eastAsia="Century Schoolbook"/>
        </w:rPr>
        <w:t xml:space="preserve"> percent</w:t>
      </w:r>
      <w:r w:rsidRPr="00036097">
        <w:rPr>
          <w:rFonts w:eastAsia="Century Schoolbook"/>
        </w:rPr>
        <w:t>, for a new total of 21.592</w:t>
      </w:r>
      <w:r w:rsidR="00337AAF" w:rsidRPr="00036097">
        <w:rPr>
          <w:rFonts w:eastAsia="Century Schoolbook"/>
        </w:rPr>
        <w:t xml:space="preserve"> percent</w:t>
      </w:r>
      <w:r w:rsidRPr="00036097">
        <w:rPr>
          <w:rFonts w:eastAsia="Century Schoolbook"/>
        </w:rPr>
        <w:t xml:space="preserve">. </w:t>
      </w:r>
    </w:p>
    <w:p w14:paraId="6B9CF350" w14:textId="4DE2FC90" w:rsidR="007B1344" w:rsidRPr="00036097" w:rsidRDefault="002347BA">
      <w:pPr>
        <w:spacing w:before="240" w:after="240"/>
        <w:ind w:left="720"/>
        <w:jc w:val="both"/>
        <w:rPr>
          <w:rFonts w:eastAsia="Century Schoolbook"/>
        </w:rPr>
      </w:pPr>
      <w:r w:rsidRPr="00036097">
        <w:rPr>
          <w:rFonts w:eastAsia="Century Schoolbook"/>
          <w:b/>
        </w:rPr>
        <w:t>Results in 2024</w:t>
      </w:r>
      <w:r w:rsidRPr="00036097">
        <w:rPr>
          <w:rFonts w:eastAsia="Century Schoolbook"/>
        </w:rPr>
        <w:t xml:space="preserve">: Applying Land’s formula, </w:t>
      </w:r>
      <w:proofErr w:type="spellStart"/>
      <w:r w:rsidRPr="00036097">
        <w:rPr>
          <w:rFonts w:eastAsia="Century Schoolbook"/>
        </w:rPr>
        <w:t>Marff’s</w:t>
      </w:r>
      <w:proofErr w:type="spellEnd"/>
      <w:r w:rsidRPr="00036097">
        <w:rPr>
          <w:rFonts w:eastAsia="Century Schoolbook"/>
        </w:rPr>
        <w:t xml:space="preserve"> final tax assessment should be about $128 million.</w:t>
      </w:r>
      <w:r w:rsidRPr="00036097">
        <w:rPr>
          <w:rFonts w:eastAsia="Century Schoolbook"/>
          <w:vertAlign w:val="superscript"/>
        </w:rPr>
        <w:footnoteReference w:id="356"/>
      </w:r>
      <w:r w:rsidRPr="00036097">
        <w:rPr>
          <w:rFonts w:eastAsia="Century Schoolbook"/>
        </w:rPr>
        <w:t xml:space="preserve"> He would then get credit for his 2022 and 2023 prepayments, which totaled $457.6</w:t>
      </w:r>
      <w:r w:rsidR="00337AAF" w:rsidRPr="00036097">
        <w:rPr>
          <w:rFonts w:eastAsia="Century Schoolbook"/>
        </w:rPr>
        <w:t xml:space="preserve"> million</w:t>
      </w:r>
      <w:r w:rsidRPr="00036097">
        <w:rPr>
          <w:rFonts w:eastAsia="Century Schoolbook"/>
        </w:rPr>
        <w:t xml:space="preserve">. That entitles </w:t>
      </w:r>
      <w:proofErr w:type="spellStart"/>
      <w:r w:rsidRPr="00036097">
        <w:rPr>
          <w:rFonts w:eastAsia="Century Schoolbook"/>
        </w:rPr>
        <w:t>Marff</w:t>
      </w:r>
      <w:proofErr w:type="spellEnd"/>
      <w:r w:rsidRPr="00036097">
        <w:rPr>
          <w:rFonts w:eastAsia="Century Schoolbook"/>
        </w:rPr>
        <w:t xml:space="preserve"> to a refund of $329.6</w:t>
      </w:r>
      <w:r w:rsidR="00337AAF" w:rsidRPr="00036097">
        <w:rPr>
          <w:rFonts w:eastAsia="Century Schoolbook"/>
        </w:rPr>
        <w:t xml:space="preserve"> million</w:t>
      </w:r>
      <w:r w:rsidRPr="00036097">
        <w:rPr>
          <w:rFonts w:eastAsia="Century Schoolbook"/>
        </w:rPr>
        <w:t>.</w:t>
      </w:r>
      <w:r w:rsidR="00BD64E3">
        <w:rPr>
          <w:rStyle w:val="FootnoteReference"/>
          <w:rFonts w:eastAsia="Century Schoolbook"/>
        </w:rPr>
        <w:footnoteReference w:id="357"/>
      </w:r>
    </w:p>
    <w:p w14:paraId="7F2F2EE8" w14:textId="77777777" w:rsidR="007B1344" w:rsidRPr="00036097" w:rsidRDefault="007B1344">
      <w:pPr>
        <w:spacing w:before="240" w:after="240"/>
        <w:ind w:firstLine="720"/>
        <w:jc w:val="both"/>
        <w:rPr>
          <w:rFonts w:eastAsia="Century Schoolbook"/>
          <w:b/>
        </w:rPr>
      </w:pPr>
    </w:p>
    <w:p w14:paraId="50277B62" w14:textId="77777777" w:rsidR="007B1344" w:rsidRPr="009F549F" w:rsidRDefault="007B1344">
      <w:pPr>
        <w:spacing w:before="240" w:after="240"/>
        <w:ind w:firstLine="720"/>
        <w:jc w:val="both"/>
        <w:rPr>
          <w:rFonts w:eastAsia="Century Schoolbook"/>
          <w:b/>
        </w:rPr>
      </w:pPr>
    </w:p>
    <w:sectPr w:rsidR="007B1344" w:rsidRPr="009F549F">
      <w:headerReference w:type="even" r:id="rId17"/>
      <w:headerReference w:type="default" r:id="rId18"/>
      <w:footerReference w:type="first" r:id="rId19"/>
      <w:type w:val="continuous"/>
      <w:pgSz w:w="12240" w:h="15840"/>
      <w:pgMar w:top="2880" w:right="2160" w:bottom="2880" w:left="2160" w:header="2160" w:footer="2160" w:gutter="0"/>
      <w:pgNumType w:start="1"/>
      <w:cols w:space="720"/>
      <w:titlePg/>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266169" w16cex:dateUtc="2022-11-22T01:43:00Z"/>
  <w16cex:commentExtensible w16cex:durableId="272075B0" w16cex:dateUtc="2022-11-17T13:56:00Z"/>
  <w16cex:commentExtensible w16cex:durableId="272075E7" w16cex:dateUtc="2022-11-17T13:57:00Z"/>
  <w16cex:commentExtensible w16cex:durableId="26DB217A" w16cex:dateUtc="2022-09-25T22:50:00Z"/>
  <w16cex:commentExtensible w16cex:durableId="27207656" w16cex:dateUtc="2022-11-17T13:59:00Z"/>
  <w16cex:commentExtensible w16cex:durableId="272076AC" w16cex:dateUtc="2022-11-17T14:00:00Z"/>
  <w16cex:commentExtensible w16cex:durableId="272076FF" w16cex:dateUtc="2022-11-17T14:01:00Z"/>
  <w16cex:commentExtensible w16cex:durableId="271F6924" w16cex:dateUtc="2022-11-16T18:50:00Z"/>
  <w16cex:commentExtensible w16cex:durableId="26E7C5AC" w16cex:dateUtc="2022-10-05T12:58:00Z"/>
  <w16cex:commentExtensible w16cex:durableId="26F536A9" w16cex:dateUtc="2022-10-15T17:39:00Z"/>
  <w16cex:commentExtensible w16cex:durableId="26F536DF" w16cex:dateUtc="2022-10-15T17:40:00Z"/>
  <w16cex:commentExtensible w16cex:durableId="26F53891" w16cex:dateUtc="2022-10-15T17:48:00Z"/>
  <w16cex:commentExtensible w16cex:durableId="2721487C" w16cex:dateUtc="2022-11-18T04:51:00Z"/>
  <w16cex:commentExtensible w16cex:durableId="26E847DC" w16cex:dateUtc="2022-10-05T22:13:00Z"/>
  <w16cex:commentExtensible w16cex:durableId="26F53A20" w16cex:dateUtc="2022-10-15T17:54:00Z"/>
  <w16cex:commentExtensible w16cex:durableId="2721487D" w16cex:dateUtc="2022-11-18T04:53:00Z"/>
  <w16cex:commentExtensible w16cex:durableId="26E84786" w16cex:dateUtc="2022-10-05T22:12:00Z"/>
  <w16cex:commentExtensible w16cex:durableId="27260821" w16cex:dateUtc="2022-11-21T19:22:00Z"/>
  <w16cex:commentExtensible w16cex:durableId="27265CD8" w16cex:dateUtc="2022-11-22T01:23:00Z"/>
  <w16cex:commentExtensible w16cex:durableId="2721487E" w16cex:dateUtc="2022-11-18T04:54:00Z"/>
  <w16cex:commentExtensible w16cex:durableId="271FBE8E" w16cex:dateUtc="2022-11-17T00:54:00Z"/>
  <w16cex:commentExtensible w16cex:durableId="271E45BD" w16cex:dateUtc="2022-11-15T22:07:00Z"/>
  <w16cex:commentExtensible w16cex:durableId="272148C4" w16cex:dateUtc="2022-11-18T04:56:00Z"/>
  <w16cex:commentExtensible w16cex:durableId="26E848A6" w16cex:dateUtc="2022-10-05T22:17:00Z"/>
  <w16cex:commentExtensible w16cex:durableId="27260A54" w16cex:dateUtc="2022-11-21T19:31:00Z"/>
  <w16cex:commentExtensible w16cex:durableId="27214914" w16cex:dateUtc="2022-11-18T04:58:00Z"/>
  <w16cex:commentExtensible w16cex:durableId="26E84A49" w16cex:dateUtc="2022-10-05T22:24:00Z"/>
  <w16cex:commentExtensible w16cex:durableId="2725BC45" w16cex:dateUtc="2022-11-21T13:58:00Z"/>
  <w16cex:commentExtensible w16cex:durableId="2725BC6E" w16cex:dateUtc="2022-11-21T13:59:00Z"/>
  <w16cex:commentExtensible w16cex:durableId="26F5A88B" w16cex:dateUtc="2022-10-16T01:45:00Z"/>
  <w16cex:commentExtensible w16cex:durableId="26F5AA2C" w16cex:dateUtc="2022-10-16T01:52:00Z"/>
  <w16cex:commentExtensible w16cex:durableId="26F69755" w16cex:dateUtc="2022-10-16T18:44:00Z"/>
  <w16cex:commentExtensible w16cex:durableId="26F699C2" w16cex:dateUtc="2022-10-16T18:54:00Z"/>
  <w16cex:commentExtensible w16cex:durableId="2725EA96" w16cex:dateUtc="2022-11-21T17:16:00Z"/>
  <w16cex:commentExtensible w16cex:durableId="26F6A515" w16cex:dateUtc="2022-10-16T19:43:00Z"/>
  <w16cex:commentExtensible w16cex:durableId="26F6A5B1" w16cex:dateUtc="2022-10-16T19:45:00Z"/>
  <w16cex:commentExtensible w16cex:durableId="26F96DC6" w16cex:dateUtc="2022-10-18T22:24:00Z"/>
  <w16cex:commentExtensible w16cex:durableId="26F96E24" w16cex:dateUtc="2022-10-18T22:25:00Z"/>
  <w16cex:commentExtensible w16cex:durableId="26F97099" w16cex:dateUtc="2022-10-18T22:36:00Z"/>
  <w16cex:commentExtensible w16cex:durableId="26E9BCA3" w16cex:dateUtc="2022-10-07T00:44:00Z"/>
  <w16cex:commentExtensible w16cex:durableId="26E9BEFB" w16cex:dateUtc="2022-10-07T00:54:00Z"/>
  <w16cex:commentExtensible w16cex:durableId="26F97635" w16cex:dateUtc="2022-10-18T23:00:00Z"/>
  <w16cex:commentExtensible w16cex:durableId="2725EB0D" w16cex:dateUtc="2022-11-21T17:18:00Z"/>
  <w16cex:commentExtensible w16cex:durableId="26E9C19A" w16cex:dateUtc="2022-10-07T01:05:00Z"/>
  <w16cex:commentExtensible w16cex:durableId="27260C25" w16cex:dateUtc="2022-11-21T19:39:00Z"/>
  <w16cex:commentExtensible w16cex:durableId="271FC6B0" w16cex:dateUtc="2022-11-17T01:29:00Z"/>
  <w16cex:commentExtensible w16cex:durableId="27265CAA" w16cex:dateUtc="2022-11-22T01:23:00Z"/>
  <w16cex:commentExtensible w16cex:durableId="27265DC5" w16cex:dateUtc="2022-11-22T01:27:00Z"/>
  <w16cex:commentExtensible w16cex:durableId="26E9C5F3" w16cex:dateUtc="2022-10-07T01:24:00Z"/>
  <w16cex:commentExtensible w16cex:durableId="27261E47" w16cex:dateUtc="2022-11-21T20:56:00Z"/>
  <w16cex:commentExtensible w16cex:durableId="2725FDF0" w16cex:dateUtc="2022-11-21T18:38:00Z"/>
  <w16cex:commentExtensible w16cex:durableId="26F9813E" w16cex:dateUtc="2022-10-18T23:47:00Z"/>
  <w16cex:commentExtensible w16cex:durableId="2725FE69" w16cex:dateUtc="2022-11-21T18:40:00Z"/>
  <w16cex:commentExtensible w16cex:durableId="26FAC68B" w16cex:dateUtc="2022-10-19T22:55:00Z"/>
  <w16cex:commentExtensible w16cex:durableId="27309CC6" w16cex:dateUtc="2022-11-29T19:59:00Z"/>
  <w16cex:commentExtensible w16cex:durableId="26EC7550" w16cex:dateUtc="2022-10-09T02:16:00Z"/>
  <w16cex:commentExtensible w16cex:durableId="26FAC863" w16cex:dateUtc="2022-10-19T23:02:00Z"/>
  <w16cex:commentExtensible w16cex:durableId="26E9D132" w16cex:dateUtc="2022-10-07T02:12:00Z"/>
  <w16cex:commentExtensible w16cex:durableId="26FAC890" w16cex:dateUtc="2022-10-19T23:03:00Z"/>
  <w16cex:commentExtensible w16cex:durableId="26FAC8B9" w16cex:dateUtc="2022-10-19T23:04:00Z"/>
  <w16cex:commentExtensible w16cex:durableId="26FAC8D0" w16cex:dateUtc="2022-10-19T23:04:00Z"/>
  <w16cex:commentExtensible w16cex:durableId="27309E65" w16cex:dateUtc="2022-11-29T20:06:00Z"/>
  <w16cex:commentExtensible w16cex:durableId="26FAC93D" w16cex:dateUtc="2022-10-19T23:06:00Z"/>
  <w16cex:commentExtensible w16cex:durableId="27309F6B" w16cex:dateUtc="2022-11-29T20:10:00Z"/>
  <w16cex:commentExtensible w16cex:durableId="26FACBF2" w16cex:dateUtc="2022-10-19T23:18:00Z"/>
  <w16cex:commentExtensible w16cex:durableId="26FAD218" w16cex:dateUtc="2022-10-19T23:44:00Z"/>
  <w16cex:commentExtensible w16cex:durableId="26FAD184" w16cex:dateUtc="2022-10-19T23:41:00Z"/>
  <w16cex:commentExtensible w16cex:durableId="2725FF27" w16cex:dateUtc="2022-11-21T18:44:00Z"/>
  <w16cex:commentExtensible w16cex:durableId="27266033" w16cex:dateUtc="2022-11-22T01:38:00Z"/>
  <w16cex:commentExtensible w16cex:durableId="272632B6" w16cex:dateUtc="2022-11-21T22:24:00Z"/>
  <w16cex:commentExtensible w16cex:durableId="27263287" w16cex:dateUtc="2022-11-21T22:23:00Z"/>
  <w16cex:commentExtensible w16cex:durableId="26FBF8A9" w16cex:dateUtc="2022-10-20T20:41:00Z"/>
  <w16cex:commentExtensible w16cex:durableId="27263354" w16cex:dateUtc="2022-11-21T22:26:00Z"/>
  <w16cex:commentExtensible w16cex:durableId="26EC5988" w16cex:dateUtc="2022-10-09T00:18:00Z"/>
  <w16cex:commentExtensible w16cex:durableId="26EC5ADE" w16cex:dateUtc="2022-10-09T00:23:00Z"/>
  <w16cex:commentExtensible w16cex:durableId="26FBFDCA" w16cex:dateUtc="2022-10-20T21:03:00Z"/>
  <w16cex:commentExtensible w16cex:durableId="2730A1C2" w16cex:dateUtc="2022-11-29T20:20:00Z"/>
  <w16cex:commentExtensible w16cex:durableId="2726548F" w16cex:dateUtc="2022-11-22T00:48:00Z"/>
  <w16cex:commentExtensible w16cex:durableId="27265501" w16cex:dateUtc="2022-11-22T00:50:00Z"/>
  <w16cex:commentExtensible w16cex:durableId="27260174" w16cex:dateUtc="2022-11-21T18:53:00Z"/>
  <w16cex:commentExtensible w16cex:durableId="2730D418" w16cex:dateUtc="2022-11-29T23:5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30E204" w14:textId="77777777" w:rsidR="00C7380F" w:rsidRDefault="00C7380F">
      <w:r>
        <w:separator/>
      </w:r>
    </w:p>
  </w:endnote>
  <w:endnote w:type="continuationSeparator" w:id="0">
    <w:p w14:paraId="3D73BD00" w14:textId="77777777" w:rsidR="00C7380F" w:rsidRDefault="00C7380F">
      <w:r>
        <w:continuationSeparator/>
      </w:r>
    </w:p>
  </w:endnote>
  <w:endnote w:type="continuationNotice" w:id="1">
    <w:p w14:paraId="09938505" w14:textId="77777777" w:rsidR="00C7380F" w:rsidRDefault="00C738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ource Sans Pro">
    <w:altName w:val="Source Sans Pro"/>
    <w:charset w:val="00"/>
    <w:family w:val="swiss"/>
    <w:pitch w:val="variable"/>
    <w:sig w:usb0="600002F7" w:usb1="02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69E5EE" w14:textId="77777777" w:rsidR="006E30B5" w:rsidRDefault="006E30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F12C05" w14:textId="77777777" w:rsidR="006E30B5" w:rsidRPr="00C124D4" w:rsidRDefault="006E30B5" w:rsidP="00BB78A7">
    <w:pPr>
      <w:pStyle w:val="Footer"/>
      <w:jc w:val="center"/>
      <w:rPr>
        <w:rFonts w:ascii="Century Schoolbook" w:hAnsi="Century Schoolbook"/>
      </w:rPr>
    </w:pPr>
    <w:r>
      <w:rPr>
        <w:rFonts w:ascii="Century Schoolbook" w:hAnsi="Century Schoolbook"/>
      </w:rPr>
      <w:fldChar w:fldCharType="begin"/>
    </w:r>
    <w:r>
      <w:rPr>
        <w:rFonts w:ascii="Century Schoolbook" w:hAnsi="Century Schoolbook"/>
      </w:rPr>
      <w:instrText xml:space="preserve"> PAGE  \* Arabic  \* MERGEFORMAT </w:instrText>
    </w:r>
    <w:r>
      <w:rPr>
        <w:rFonts w:ascii="Century Schoolbook" w:hAnsi="Century Schoolbook"/>
      </w:rPr>
      <w:fldChar w:fldCharType="separate"/>
    </w:r>
    <w:r>
      <w:rPr>
        <w:rFonts w:ascii="Century Schoolbook" w:hAnsi="Century Schoolbook"/>
        <w:noProof/>
      </w:rPr>
      <w:t>1</w:t>
    </w:r>
    <w:r>
      <w:rPr>
        <w:rFonts w:ascii="Century Schoolbook" w:hAnsi="Century Schoolbook"/>
      </w:rPr>
      <w:fldChar w:fldCharType="end"/>
    </w:r>
  </w:p>
  <w:p w14:paraId="4210660B" w14:textId="77777777" w:rsidR="006E30B5" w:rsidRDefault="006E30B5">
    <w:pPr>
      <w:pBdr>
        <w:top w:val="nil"/>
        <w:left w:val="nil"/>
        <w:bottom w:val="nil"/>
        <w:right w:val="nil"/>
        <w:between w:val="nil"/>
      </w:pBdr>
      <w:tabs>
        <w:tab w:val="center" w:pos="4680"/>
        <w:tab w:val="right" w:pos="9360"/>
      </w:tabs>
      <w:jc w:val="center"/>
      <w:rPr>
        <w:rFonts w:ascii="Century Schoolbook" w:eastAsia="Century Schoolbook" w:hAnsi="Century Schoolbook" w:cs="Century Schoolbook"/>
        <w:color w:val="000000"/>
      </w:rPr>
    </w:pPr>
    <w:r>
      <w:rPr>
        <w:rFonts w:ascii="Century Schoolbook" w:eastAsia="Century Schoolbook" w:hAnsi="Century Schoolbook" w:cs="Century Schoolbook"/>
        <w:color w:val="000000"/>
      </w:rPr>
      <w:fldChar w:fldCharType="begin"/>
    </w:r>
    <w:r>
      <w:rPr>
        <w:rFonts w:ascii="Century Schoolbook" w:eastAsia="Century Schoolbook" w:hAnsi="Century Schoolbook" w:cs="Century Schoolbook"/>
        <w:color w:val="000000"/>
        <w:sz w:val="22"/>
        <w:szCs w:val="22"/>
      </w:rPr>
      <w:instrText>PAGE</w:instrText>
    </w:r>
    <w:r>
      <w:rPr>
        <w:rFonts w:ascii="Century Schoolbook" w:eastAsia="Century Schoolbook" w:hAnsi="Century Schoolbook" w:cs="Century Schoolbook"/>
        <w:color w:val="000000"/>
      </w:rPr>
      <w:fldChar w:fldCharType="end"/>
    </w:r>
  </w:p>
  <w:p w14:paraId="0A279389" w14:textId="77777777" w:rsidR="006E30B5" w:rsidRDefault="006E30B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7959DA" w14:textId="77777777" w:rsidR="006E30B5" w:rsidRDefault="006E30B5">
    <w:pPr>
      <w:pBdr>
        <w:top w:val="nil"/>
        <w:left w:val="nil"/>
        <w:bottom w:val="nil"/>
        <w:right w:val="nil"/>
        <w:between w:val="nil"/>
      </w:pBdr>
      <w:tabs>
        <w:tab w:val="center" w:pos="4680"/>
        <w:tab w:val="right" w:pos="9360"/>
      </w:tabs>
      <w:jc w:val="center"/>
      <w:rPr>
        <w:rFonts w:ascii="Century Schoolbook" w:eastAsia="Century Schoolbook" w:hAnsi="Century Schoolbook" w:cs="Century Schoolbook"/>
        <w:color w:val="000000"/>
      </w:rPr>
    </w:pPr>
    <w:r>
      <w:rPr>
        <w:rFonts w:ascii="Century Schoolbook" w:eastAsia="Century Schoolbook" w:hAnsi="Century Schoolbook" w:cs="Century Schoolbook"/>
        <w:color w:val="000000"/>
      </w:rPr>
      <w:fldChar w:fldCharType="begin"/>
    </w:r>
    <w:r>
      <w:rPr>
        <w:rFonts w:ascii="Century Schoolbook" w:eastAsia="Century Schoolbook" w:hAnsi="Century Schoolbook" w:cs="Century Schoolbook"/>
        <w:color w:val="000000"/>
        <w:sz w:val="22"/>
        <w:szCs w:val="22"/>
      </w:rPr>
      <w:instrText>PAGE</w:instrText>
    </w:r>
    <w:r>
      <w:rPr>
        <w:rFonts w:ascii="Century Schoolbook" w:eastAsia="Century Schoolbook" w:hAnsi="Century Schoolbook" w:cs="Century Schoolbook"/>
        <w:color w:val="000000"/>
      </w:rPr>
      <w:fldChar w:fldCharType="separate"/>
    </w:r>
    <w:r w:rsidR="00FD2F91">
      <w:rPr>
        <w:rFonts w:ascii="Century Schoolbook" w:eastAsia="Century Schoolbook" w:hAnsi="Century Schoolbook" w:cs="Century Schoolbook"/>
        <w:noProof/>
        <w:color w:val="000000"/>
        <w:sz w:val="22"/>
        <w:szCs w:val="22"/>
      </w:rPr>
      <w:t>1</w:t>
    </w:r>
    <w:r>
      <w:rPr>
        <w:rFonts w:ascii="Century Schoolbook" w:eastAsia="Century Schoolbook" w:hAnsi="Century Schoolbook" w:cs="Century Schoolbook"/>
        <w:color w:val="000000"/>
      </w:rPr>
      <w:fldChar w:fldCharType="end"/>
    </w:r>
  </w:p>
  <w:p w14:paraId="3DC44821" w14:textId="77777777" w:rsidR="006E30B5" w:rsidRDefault="006E30B5" w:rsidP="009F54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EF8B5D" w14:textId="77777777" w:rsidR="00C7380F" w:rsidRDefault="00C7380F">
      <w:r>
        <w:separator/>
      </w:r>
    </w:p>
  </w:footnote>
  <w:footnote w:type="continuationSeparator" w:id="0">
    <w:p w14:paraId="67D2F7FD" w14:textId="77777777" w:rsidR="00C7380F" w:rsidRDefault="00C7380F">
      <w:r>
        <w:continuationSeparator/>
      </w:r>
    </w:p>
  </w:footnote>
  <w:footnote w:type="continuationNotice" w:id="1">
    <w:p w14:paraId="18AD0253" w14:textId="77777777" w:rsidR="00C7380F" w:rsidRDefault="00C7380F"/>
  </w:footnote>
  <w:footnote w:id="2">
    <w:p w14:paraId="59CC0030" w14:textId="77777777" w:rsidR="006E30B5" w:rsidRPr="009F549F" w:rsidRDefault="006E30B5" w:rsidP="009F549F">
      <w:pPr>
        <w:pStyle w:val="FootnoteText"/>
        <w:rPr>
          <w:color w:val="000000"/>
        </w:rPr>
      </w:pPr>
      <w:r w:rsidRPr="009F549F">
        <w:footnoteRef/>
      </w:r>
      <w:r w:rsidRPr="009F549F">
        <w:rPr>
          <w:color w:val="000000"/>
        </w:rPr>
        <w:t xml:space="preserve"> Professor of Law, Georgetown University Law Center.</w:t>
      </w:r>
    </w:p>
  </w:footnote>
  <w:footnote w:id="3">
    <w:p w14:paraId="02302475" w14:textId="77777777" w:rsidR="006E30B5" w:rsidRPr="009F549F" w:rsidRDefault="006E30B5" w:rsidP="009F549F">
      <w:pPr>
        <w:pStyle w:val="FootnoteText"/>
        <w:rPr>
          <w:color w:val="000000"/>
        </w:rPr>
      </w:pPr>
      <w:r w:rsidRPr="009F549F">
        <w:footnoteRef/>
      </w:r>
      <w:r w:rsidRPr="009F549F">
        <w:rPr>
          <w:color w:val="000000"/>
        </w:rPr>
        <w:t xml:space="preserve"> Professor of Law, Indiana University – Bloomington, Maurer School of Law.</w:t>
      </w:r>
    </w:p>
  </w:footnote>
  <w:footnote w:id="4">
    <w:p w14:paraId="0BF34904" w14:textId="129B39EE" w:rsidR="006E30B5" w:rsidRPr="009F549F" w:rsidRDefault="006E30B5" w:rsidP="009F549F">
      <w:pPr>
        <w:pStyle w:val="FootnoteText"/>
        <w:rPr>
          <w:color w:val="000000"/>
        </w:rPr>
      </w:pPr>
      <w:r w:rsidRPr="009F549F">
        <w:footnoteRef/>
      </w:r>
      <w:r w:rsidRPr="009F549F">
        <w:rPr>
          <w:color w:val="000000"/>
        </w:rPr>
        <w:t xml:space="preserve"> Professor of Law, University of California, Davis, School of Law. The authors gratefully acknowledge thoughtful comments from Yariv Brauner, Jake Brooks, Victor Fleischer, Ed Fox, Ari Glogower, Andrew Hayashi, Leandra Lederman, Bob Lord, David Miller, Susie Morse, Gregg Polsky, Alex Raskolnikov, Emmanuel Saez, Emily Satterthwaite, Neel Sukhatme, Urska Velikonja, Alvin Warren, David Wishnick, and attendees of presentations at Georgetown</w:t>
      </w:r>
      <w:r>
        <w:rPr>
          <w:color w:val="000000"/>
        </w:rPr>
        <w:t>, Washington University, the</w:t>
      </w:r>
      <w:r w:rsidRPr="009F549F">
        <w:rPr>
          <w:color w:val="000000"/>
          <w:lang w:val="en-US"/>
        </w:rPr>
        <w:t xml:space="preserve"> Midwestern Law &amp; Economics Association </w:t>
      </w:r>
      <w:r>
        <w:rPr>
          <w:color w:val="000000"/>
          <w:lang w:val="en-US"/>
        </w:rPr>
        <w:t>a</w:t>
      </w:r>
      <w:r w:rsidRPr="009F549F">
        <w:rPr>
          <w:color w:val="000000"/>
          <w:lang w:val="en-US"/>
        </w:rPr>
        <w:t xml:space="preserve">nnual </w:t>
      </w:r>
      <w:r>
        <w:rPr>
          <w:color w:val="000000"/>
          <w:lang w:val="en-US"/>
        </w:rPr>
        <w:t>m</w:t>
      </w:r>
      <w:r w:rsidRPr="009F549F">
        <w:rPr>
          <w:color w:val="000000"/>
          <w:lang w:val="en-US"/>
        </w:rPr>
        <w:t>eeting</w:t>
      </w:r>
      <w:r>
        <w:rPr>
          <w:color w:val="000000"/>
          <w:lang w:val="en-US"/>
        </w:rPr>
        <w:t>,</w:t>
      </w:r>
      <w:r w:rsidRPr="009F549F">
        <w:rPr>
          <w:color w:val="000000"/>
          <w:lang w:val="en-US"/>
        </w:rPr>
        <w:t xml:space="preserve"> </w:t>
      </w:r>
      <w:r w:rsidRPr="009F549F">
        <w:rPr>
          <w:color w:val="000000"/>
        </w:rPr>
        <w:t xml:space="preserve">and the Association for Mid-Career Tax Law Professors’ </w:t>
      </w:r>
      <w:r>
        <w:rPr>
          <w:color w:val="000000"/>
        </w:rPr>
        <w:t>annual c</w:t>
      </w:r>
      <w:r w:rsidRPr="009F549F">
        <w:rPr>
          <w:color w:val="000000"/>
        </w:rPr>
        <w:t xml:space="preserve">onference.   </w:t>
      </w:r>
      <w:r w:rsidRPr="007D6E99">
        <w:rPr>
          <w:rFonts w:ascii="Century Schoolbook" w:hAnsi="Century Schoolbook" w:cs="Times New Roman"/>
        </w:rPr>
        <w:t xml:space="preserve">   </w:t>
      </w:r>
    </w:p>
  </w:footnote>
  <w:footnote w:id="5">
    <w:p w14:paraId="0F44CDE3" w14:textId="5B30250B" w:rsidR="006E30B5" w:rsidRPr="009F549F" w:rsidRDefault="006E30B5">
      <w:pPr>
        <w:pBdr>
          <w:top w:val="nil"/>
          <w:left w:val="nil"/>
          <w:bottom w:val="nil"/>
          <w:right w:val="nil"/>
          <w:between w:val="nil"/>
        </w:pBdr>
        <w:rPr>
          <w:rFonts w:eastAsia="Century Schoolbook"/>
          <w:color w:val="000000"/>
        </w:rPr>
      </w:pPr>
      <w:r w:rsidRPr="009F549F">
        <w:rPr>
          <w:vertAlign w:val="superscript"/>
        </w:rPr>
        <w:footnoteRef/>
      </w:r>
      <w:r w:rsidRPr="009F549F">
        <w:rPr>
          <w:rFonts w:eastAsia="Century Schoolbook"/>
          <w:color w:val="000000"/>
        </w:rPr>
        <w:t xml:space="preserve"> </w:t>
      </w:r>
      <w:r w:rsidRPr="009F549F">
        <w:rPr>
          <w:rFonts w:eastAsia="Century Schoolbook"/>
          <w:i/>
          <w:color w:val="000000"/>
        </w:rPr>
        <w:t>See, e.g.</w:t>
      </w:r>
      <w:r w:rsidRPr="009F549F">
        <w:rPr>
          <w:rFonts w:eastAsia="Century Schoolbook"/>
          <w:color w:val="000000"/>
        </w:rPr>
        <w:t xml:space="preserve">, Emmanuel </w:t>
      </w:r>
      <w:proofErr w:type="spellStart"/>
      <w:r w:rsidRPr="009F549F">
        <w:rPr>
          <w:rFonts w:eastAsia="Century Schoolbook"/>
          <w:color w:val="000000"/>
        </w:rPr>
        <w:t>Saez</w:t>
      </w:r>
      <w:proofErr w:type="spellEnd"/>
      <w:r w:rsidRPr="009F549F">
        <w:rPr>
          <w:rFonts w:eastAsia="Century Schoolbook"/>
          <w:color w:val="000000"/>
        </w:rPr>
        <w:t xml:space="preserve"> &amp; Gabriel Zucman, </w:t>
      </w:r>
      <w:r w:rsidRPr="009F549F">
        <w:rPr>
          <w:rFonts w:eastAsia="Century Schoolbook"/>
          <w:i/>
          <w:color w:val="000000"/>
        </w:rPr>
        <w:t>The Rise of Income and Wealth Inequality in America: Evidence from Distributional Macroeconomic Accounts</w:t>
      </w:r>
      <w:r w:rsidRPr="009F549F">
        <w:rPr>
          <w:rFonts w:eastAsia="Century Schoolbook"/>
          <w:color w:val="000000"/>
        </w:rPr>
        <w:t xml:space="preserve">, 34 J. </w:t>
      </w:r>
      <w:r w:rsidRPr="009F549F">
        <w:rPr>
          <w:rFonts w:eastAsia="Century Schoolbook"/>
          <w:smallCaps/>
          <w:color w:val="000000"/>
        </w:rPr>
        <w:t xml:space="preserve">Econ. </w:t>
      </w:r>
      <w:proofErr w:type="spellStart"/>
      <w:r w:rsidRPr="00036097">
        <w:rPr>
          <w:rFonts w:eastAsia="Century Schoolbook"/>
          <w:smallCaps/>
          <w:color w:val="000000"/>
        </w:rPr>
        <w:t>Persps</w:t>
      </w:r>
      <w:proofErr w:type="spellEnd"/>
      <w:r w:rsidRPr="009F549F">
        <w:rPr>
          <w:rFonts w:eastAsia="Century Schoolbook"/>
          <w:smallCaps/>
          <w:color w:val="000000"/>
        </w:rPr>
        <w:t>.</w:t>
      </w:r>
      <w:r w:rsidRPr="009F549F">
        <w:rPr>
          <w:rFonts w:eastAsia="Century Schoolbook"/>
          <w:color w:val="000000"/>
        </w:rPr>
        <w:t xml:space="preserve"> 3, 9 (2020</w:t>
      </w:r>
      <w:r w:rsidRPr="00036097">
        <w:rPr>
          <w:rFonts w:eastAsia="Century Schoolbook"/>
          <w:color w:val="000000"/>
        </w:rPr>
        <w:t>) (noting that “the top 10 percent wealthiest tax units owned 77–78 percent of wealth in 2018, an increase of 10 points since 1989”);</w:t>
      </w:r>
      <w:r w:rsidRPr="009F549F">
        <w:rPr>
          <w:rFonts w:eastAsia="Century Schoolbook"/>
          <w:color w:val="000000"/>
        </w:rPr>
        <w:t xml:space="preserve"> Emmanuel </w:t>
      </w:r>
      <w:proofErr w:type="spellStart"/>
      <w:r w:rsidRPr="009F549F">
        <w:rPr>
          <w:rFonts w:eastAsia="Century Schoolbook"/>
          <w:color w:val="000000"/>
        </w:rPr>
        <w:t>Saez</w:t>
      </w:r>
      <w:proofErr w:type="spellEnd"/>
      <w:r w:rsidRPr="009F549F">
        <w:rPr>
          <w:rFonts w:eastAsia="Century Schoolbook"/>
          <w:color w:val="000000"/>
        </w:rPr>
        <w:t xml:space="preserve"> &amp; Gabriel Zucman, </w:t>
      </w:r>
      <w:r w:rsidRPr="009F549F">
        <w:rPr>
          <w:rFonts w:eastAsia="Century Schoolbook"/>
          <w:i/>
          <w:color w:val="000000"/>
        </w:rPr>
        <w:t xml:space="preserve">Wealth Inequality in the United States Since 1913: Evidence </w:t>
      </w:r>
      <w:r w:rsidRPr="00036097">
        <w:rPr>
          <w:rFonts w:eastAsia="Century Schoolbook"/>
          <w:i/>
          <w:color w:val="000000"/>
        </w:rPr>
        <w:t>from</w:t>
      </w:r>
      <w:r w:rsidRPr="009F549F">
        <w:rPr>
          <w:rFonts w:eastAsia="Century Schoolbook"/>
          <w:i/>
          <w:color w:val="000000"/>
        </w:rPr>
        <w:t xml:space="preserve"> Capitalized Income Tax Data,</w:t>
      </w:r>
      <w:r w:rsidRPr="009F549F">
        <w:rPr>
          <w:rFonts w:eastAsia="Century Schoolbook"/>
          <w:color w:val="000000"/>
        </w:rPr>
        <w:t xml:space="preserve"> 131 Q. J. </w:t>
      </w:r>
      <w:r w:rsidRPr="009F549F">
        <w:rPr>
          <w:rFonts w:eastAsia="Century Schoolbook"/>
          <w:smallCaps/>
          <w:color w:val="000000"/>
        </w:rPr>
        <w:t>Econ</w:t>
      </w:r>
      <w:r w:rsidRPr="009F549F">
        <w:rPr>
          <w:rFonts w:eastAsia="Century Schoolbook"/>
          <w:color w:val="000000"/>
        </w:rPr>
        <w:t>. 519, 551–54 (2016</w:t>
      </w:r>
      <w:r w:rsidRPr="00036097">
        <w:rPr>
          <w:rFonts w:eastAsia="Century Schoolbook"/>
          <w:color w:val="000000"/>
        </w:rPr>
        <w:t>) (</w:t>
      </w:r>
      <w:r>
        <w:rPr>
          <w:rFonts w:eastAsia="Century Schoolbook"/>
          <w:color w:val="000000"/>
        </w:rPr>
        <w:t>summarizing income inequality data</w:t>
      </w:r>
      <w:r w:rsidRPr="009F549F">
        <w:rPr>
          <w:rFonts w:eastAsia="Century Schoolbook"/>
          <w:color w:val="000000"/>
        </w:rPr>
        <w:t>).</w:t>
      </w:r>
    </w:p>
  </w:footnote>
  <w:footnote w:id="6">
    <w:p w14:paraId="5D9B471C" w14:textId="17D3DC95" w:rsidR="006E30B5" w:rsidRPr="009F549F" w:rsidRDefault="006E30B5">
      <w:pPr>
        <w:pBdr>
          <w:top w:val="nil"/>
          <w:left w:val="nil"/>
          <w:bottom w:val="nil"/>
          <w:right w:val="nil"/>
          <w:between w:val="nil"/>
        </w:pBdr>
        <w:rPr>
          <w:rFonts w:eastAsia="Century Schoolbook"/>
          <w:color w:val="000000"/>
        </w:rPr>
      </w:pPr>
      <w:r w:rsidRPr="009F549F">
        <w:rPr>
          <w:vertAlign w:val="superscript"/>
        </w:rPr>
        <w:footnoteRef/>
      </w:r>
      <w:r w:rsidRPr="009F549F">
        <w:rPr>
          <w:rFonts w:eastAsia="Century Schoolbook"/>
          <w:color w:val="000000"/>
        </w:rPr>
        <w:t xml:space="preserve"> </w:t>
      </w:r>
      <w:r w:rsidRPr="009F549F">
        <w:rPr>
          <w:rFonts w:eastAsia="Century Schoolbook"/>
          <w:i/>
          <w:color w:val="000000"/>
        </w:rPr>
        <w:t>See</w:t>
      </w:r>
      <w:r w:rsidRPr="009F549F">
        <w:rPr>
          <w:rFonts w:eastAsia="Century Schoolbook"/>
          <w:color w:val="000000"/>
        </w:rPr>
        <w:t xml:space="preserve"> Gerald </w:t>
      </w:r>
      <w:proofErr w:type="spellStart"/>
      <w:r w:rsidRPr="009F549F">
        <w:rPr>
          <w:rFonts w:eastAsia="Century Schoolbook"/>
          <w:color w:val="000000"/>
        </w:rPr>
        <w:t>Auten</w:t>
      </w:r>
      <w:proofErr w:type="spellEnd"/>
      <w:r w:rsidRPr="009F549F">
        <w:rPr>
          <w:rFonts w:eastAsia="Century Schoolbook"/>
          <w:color w:val="000000"/>
        </w:rPr>
        <w:t xml:space="preserve"> &amp; David Splinter, Income Inequality in the United States: Using Tax Data to Measure Long-</w:t>
      </w:r>
      <w:r w:rsidRPr="003052B2">
        <w:rPr>
          <w:rFonts w:eastAsia="Century Schoolbook"/>
          <w:iCs/>
          <w:color w:val="000000"/>
        </w:rPr>
        <w:t>T</w:t>
      </w:r>
      <w:r w:rsidRPr="003052B2">
        <w:rPr>
          <w:rFonts w:eastAsia="Century Schoolbook"/>
          <w:color w:val="000000"/>
        </w:rPr>
        <w:t>erm</w:t>
      </w:r>
      <w:r w:rsidRPr="009F549F">
        <w:rPr>
          <w:rFonts w:eastAsia="Century Schoolbook"/>
          <w:color w:val="000000"/>
        </w:rPr>
        <w:t xml:space="preserve"> Trends </w:t>
      </w:r>
      <w:r w:rsidRPr="00036097">
        <w:rPr>
          <w:rFonts w:eastAsia="Century Schoolbook"/>
          <w:color w:val="000000"/>
        </w:rPr>
        <w:t>3–4 (Feb. 18</w:t>
      </w:r>
      <w:r w:rsidRPr="009F549F">
        <w:rPr>
          <w:rFonts w:eastAsia="Century Schoolbook"/>
          <w:color w:val="000000"/>
        </w:rPr>
        <w:t>, 2022) (unpublished manuscript</w:t>
      </w:r>
      <w:r w:rsidRPr="00036097">
        <w:rPr>
          <w:rFonts w:eastAsia="Century Schoolbook"/>
          <w:color w:val="000000"/>
        </w:rPr>
        <w:t>) (</w:t>
      </w:r>
      <w:r w:rsidRPr="009F549F">
        <w:rPr>
          <w:rFonts w:eastAsia="Century Schoolbook"/>
          <w:color w:val="000000"/>
        </w:rPr>
        <w:t>http://davidsplinter.com/AutenSplinter-Tax</w:t>
      </w:r>
      <w:r w:rsidRPr="00036097">
        <w:rPr>
          <w:rFonts w:eastAsia="Century Schoolbook"/>
          <w:color w:val="000000"/>
        </w:rPr>
        <w:t>_</w:t>
      </w:r>
      <w:r w:rsidRPr="009F549F">
        <w:rPr>
          <w:rFonts w:eastAsia="Century Schoolbook"/>
          <w:color w:val="000000"/>
        </w:rPr>
        <w:t>Data</w:t>
      </w:r>
      <w:r w:rsidRPr="00036097">
        <w:rPr>
          <w:rFonts w:eastAsia="Century Schoolbook"/>
          <w:color w:val="000000"/>
        </w:rPr>
        <w:t>_</w:t>
      </w:r>
      <w:r w:rsidRPr="009F549F">
        <w:rPr>
          <w:rFonts w:eastAsia="Century Schoolbook"/>
          <w:color w:val="000000"/>
        </w:rPr>
        <w:t>and</w:t>
      </w:r>
      <w:r w:rsidRPr="00036097">
        <w:rPr>
          <w:rFonts w:eastAsia="Century Schoolbook"/>
          <w:color w:val="000000"/>
        </w:rPr>
        <w:t>_</w:t>
      </w:r>
      <w:r w:rsidRPr="009F549F">
        <w:rPr>
          <w:rFonts w:eastAsia="Century Schoolbook"/>
          <w:color w:val="000000"/>
        </w:rPr>
        <w:t>Inequality.pdf</w:t>
      </w:r>
      <w:r w:rsidRPr="00036097">
        <w:rPr>
          <w:rFonts w:eastAsia="Century Schoolbook"/>
          <w:color w:val="000000"/>
        </w:rPr>
        <w:t xml:space="preserve"> [https://perma.cc/YJ8E-Z4LK]);</w:t>
      </w:r>
      <w:r w:rsidRPr="009F549F">
        <w:rPr>
          <w:rFonts w:eastAsia="Century Schoolbook"/>
          <w:color w:val="000000"/>
        </w:rPr>
        <w:t xml:space="preserve"> Matthew Smith, Owen M. </w:t>
      </w:r>
      <w:proofErr w:type="spellStart"/>
      <w:r w:rsidRPr="009F549F">
        <w:rPr>
          <w:rFonts w:eastAsia="Century Schoolbook"/>
          <w:color w:val="000000"/>
        </w:rPr>
        <w:t>Zidar</w:t>
      </w:r>
      <w:proofErr w:type="spellEnd"/>
      <w:r w:rsidRPr="007D6E99">
        <w:rPr>
          <w:rFonts w:ascii="Century Schoolbook" w:eastAsia="Century Schoolbook" w:hAnsi="Century Schoolbook" w:cs="Century Schoolbook"/>
          <w:color w:val="000000"/>
          <w:sz w:val="20"/>
          <w:szCs w:val="20"/>
        </w:rPr>
        <w:t>,</w:t>
      </w:r>
      <w:r w:rsidRPr="009F549F">
        <w:rPr>
          <w:rFonts w:eastAsia="Century Schoolbook"/>
          <w:color w:val="000000"/>
        </w:rPr>
        <w:t xml:space="preserve"> &amp; Eric Zwick, </w:t>
      </w:r>
      <w:r w:rsidRPr="009F549F">
        <w:rPr>
          <w:rFonts w:eastAsia="Century Schoolbook"/>
          <w:i/>
          <w:color w:val="000000"/>
        </w:rPr>
        <w:t xml:space="preserve">Top Wealth in America: New Estimates and Implications for Taxing the Rich </w:t>
      </w:r>
      <w:r w:rsidRPr="00036097">
        <w:rPr>
          <w:rFonts w:eastAsia="Century Schoolbook"/>
          <w:color w:val="000000"/>
        </w:rPr>
        <w:t xml:space="preserve">49 (Nat’l Bureau of Econ. </w:t>
      </w:r>
      <w:proofErr w:type="spellStart"/>
      <w:r w:rsidRPr="00036097">
        <w:rPr>
          <w:rFonts w:eastAsia="Century Schoolbook"/>
          <w:color w:val="000000"/>
        </w:rPr>
        <w:t>Rsch</w:t>
      </w:r>
      <w:proofErr w:type="spellEnd"/>
      <w:r w:rsidRPr="00036097">
        <w:rPr>
          <w:rFonts w:eastAsia="Century Schoolbook"/>
          <w:color w:val="000000"/>
        </w:rPr>
        <w:t>.,</w:t>
      </w:r>
      <w:r w:rsidRPr="009F549F">
        <w:rPr>
          <w:rFonts w:eastAsia="Century Schoolbook"/>
          <w:color w:val="000000"/>
        </w:rPr>
        <w:t xml:space="preserve"> Working Paper No. 29374, </w:t>
      </w:r>
      <w:r w:rsidRPr="007D6E99">
        <w:rPr>
          <w:rFonts w:ascii="Century Schoolbook" w:eastAsia="Century Schoolbook" w:hAnsi="Century Schoolbook" w:cs="Century Schoolbook"/>
          <w:color w:val="000000"/>
          <w:sz w:val="20"/>
          <w:szCs w:val="20"/>
        </w:rPr>
        <w:t xml:space="preserve">at 51 (Oct. </w:t>
      </w:r>
      <w:r w:rsidRPr="009F549F">
        <w:rPr>
          <w:rFonts w:eastAsia="Century Schoolbook"/>
          <w:color w:val="000000"/>
        </w:rPr>
        <w:t>2021).</w:t>
      </w:r>
      <w:r w:rsidRPr="00036097">
        <w:rPr>
          <w:rFonts w:eastAsia="Century Schoolbook"/>
          <w:color w:val="000000"/>
        </w:rPr>
        <w:t xml:space="preserve"> </w:t>
      </w:r>
    </w:p>
  </w:footnote>
  <w:footnote w:id="7">
    <w:p w14:paraId="2903DCF8" w14:textId="1E05C9C8" w:rsidR="006E30B5" w:rsidRPr="009F549F" w:rsidRDefault="006E30B5">
      <w:pPr>
        <w:pBdr>
          <w:top w:val="nil"/>
          <w:left w:val="nil"/>
          <w:bottom w:val="nil"/>
          <w:right w:val="nil"/>
          <w:between w:val="nil"/>
        </w:pBdr>
        <w:rPr>
          <w:rFonts w:eastAsia="Century Schoolbook"/>
          <w:color w:val="000000"/>
        </w:rPr>
      </w:pPr>
      <w:r w:rsidRPr="009F549F">
        <w:rPr>
          <w:vertAlign w:val="superscript"/>
        </w:rPr>
        <w:footnoteRef/>
      </w:r>
      <w:r w:rsidRPr="009F549F">
        <w:rPr>
          <w:rFonts w:eastAsia="Century Schoolbook"/>
          <w:color w:val="000000"/>
        </w:rPr>
        <w:t xml:space="preserve"> David Gamage &amp; John R. Brooks, </w:t>
      </w:r>
      <w:r w:rsidRPr="009F549F">
        <w:rPr>
          <w:rFonts w:eastAsia="Century Schoolbook"/>
          <w:i/>
          <w:color w:val="000000"/>
        </w:rPr>
        <w:t>Tax Now or Tax Never: Political Optionality and the Case for Current-Assessment Tax Reform</w:t>
      </w:r>
      <w:r w:rsidRPr="009F549F">
        <w:rPr>
          <w:rFonts w:eastAsia="Century Schoolbook"/>
          <w:color w:val="000000"/>
        </w:rPr>
        <w:t xml:space="preserve">, </w:t>
      </w:r>
      <w:r w:rsidRPr="00036097">
        <w:rPr>
          <w:rFonts w:eastAsia="Century Schoolbook"/>
          <w:color w:val="000000"/>
        </w:rPr>
        <w:t xml:space="preserve">100 </w:t>
      </w:r>
      <w:r w:rsidRPr="009F549F">
        <w:rPr>
          <w:rFonts w:eastAsia="Century Schoolbook"/>
          <w:color w:val="000000"/>
        </w:rPr>
        <w:t xml:space="preserve">N.C. L. </w:t>
      </w:r>
      <w:r w:rsidRPr="009F549F">
        <w:rPr>
          <w:rFonts w:eastAsia="Century Schoolbook"/>
          <w:smallCaps/>
          <w:color w:val="000000"/>
        </w:rPr>
        <w:t>Rev</w:t>
      </w:r>
      <w:r w:rsidRPr="009F549F">
        <w:rPr>
          <w:rFonts w:eastAsia="Century Schoolbook"/>
          <w:color w:val="000000"/>
        </w:rPr>
        <w:t xml:space="preserve">. </w:t>
      </w:r>
      <w:r w:rsidRPr="00036097">
        <w:rPr>
          <w:rFonts w:eastAsia="Century Schoolbook"/>
          <w:color w:val="000000"/>
        </w:rPr>
        <w:t>487, 491 (</w:t>
      </w:r>
      <w:r w:rsidRPr="009F549F">
        <w:rPr>
          <w:rFonts w:eastAsia="Century Schoolbook"/>
          <w:color w:val="000000"/>
        </w:rPr>
        <w:t>2022</w:t>
      </w:r>
      <w:r w:rsidRPr="00036097">
        <w:rPr>
          <w:rFonts w:eastAsia="Century Schoolbook"/>
          <w:color w:val="000000"/>
        </w:rPr>
        <w:t xml:space="preserve">) [hereinafter </w:t>
      </w:r>
      <w:r w:rsidRPr="00036097">
        <w:rPr>
          <w:rFonts w:eastAsia="Century Schoolbook"/>
          <w:i/>
          <w:iCs/>
          <w:color w:val="000000"/>
        </w:rPr>
        <w:t>Tax Now or Tax Never</w:t>
      </w:r>
      <w:r w:rsidRPr="00036097">
        <w:rPr>
          <w:rFonts w:eastAsia="Century Schoolbook"/>
          <w:color w:val="000000"/>
        </w:rPr>
        <w:t>];</w:t>
      </w:r>
      <w:r w:rsidRPr="009F549F">
        <w:rPr>
          <w:rFonts w:eastAsia="Century Schoolbook"/>
          <w:color w:val="000000"/>
        </w:rPr>
        <w:t xml:space="preserve"> </w:t>
      </w:r>
      <w:proofErr w:type="spellStart"/>
      <w:r w:rsidRPr="009F549F">
        <w:rPr>
          <w:rFonts w:eastAsia="Century Schoolbook"/>
          <w:color w:val="000000"/>
        </w:rPr>
        <w:t>Goldburn</w:t>
      </w:r>
      <w:proofErr w:type="spellEnd"/>
      <w:r w:rsidRPr="009F549F">
        <w:rPr>
          <w:rFonts w:eastAsia="Century Schoolbook"/>
          <w:color w:val="000000"/>
        </w:rPr>
        <w:t xml:space="preserve"> </w:t>
      </w:r>
      <w:r w:rsidRPr="00036097">
        <w:rPr>
          <w:rFonts w:eastAsia="Century Schoolbook"/>
          <w:color w:val="000000"/>
        </w:rPr>
        <w:t xml:space="preserve">P. </w:t>
      </w:r>
      <w:r w:rsidRPr="009F549F">
        <w:rPr>
          <w:rFonts w:eastAsia="Century Schoolbook"/>
          <w:color w:val="000000"/>
        </w:rPr>
        <w:t>Maynard</w:t>
      </w:r>
      <w:r w:rsidRPr="00036097">
        <w:rPr>
          <w:rFonts w:eastAsia="Century Schoolbook"/>
          <w:color w:val="000000"/>
        </w:rPr>
        <w:t>, Jr.</w:t>
      </w:r>
      <w:r w:rsidRPr="009F549F">
        <w:rPr>
          <w:rFonts w:eastAsia="Century Schoolbook"/>
          <w:color w:val="000000"/>
        </w:rPr>
        <w:t xml:space="preserve"> &amp; David Gamage, </w:t>
      </w:r>
      <w:r w:rsidRPr="009F549F">
        <w:rPr>
          <w:rFonts w:eastAsia="Century Schoolbook"/>
          <w:i/>
          <w:color w:val="000000"/>
        </w:rPr>
        <w:t>Wage Enslavement: How the Tax System Holds Back Historically Disadvantaged Groups of Americans</w:t>
      </w:r>
      <w:r w:rsidRPr="009F549F">
        <w:rPr>
          <w:rFonts w:eastAsia="Century Schoolbook"/>
          <w:color w:val="000000"/>
        </w:rPr>
        <w:t xml:space="preserve">, </w:t>
      </w:r>
      <w:r w:rsidRPr="00036097">
        <w:rPr>
          <w:rFonts w:eastAsia="Century Schoolbook"/>
          <w:color w:val="000000"/>
        </w:rPr>
        <w:t xml:space="preserve">110 </w:t>
      </w:r>
      <w:r w:rsidRPr="009F549F">
        <w:rPr>
          <w:rFonts w:eastAsia="Century Schoolbook"/>
          <w:smallCaps/>
          <w:color w:val="000000"/>
        </w:rPr>
        <w:t>Ky</w:t>
      </w:r>
      <w:r w:rsidRPr="009F549F">
        <w:rPr>
          <w:rFonts w:eastAsia="Century Schoolbook"/>
          <w:color w:val="000000"/>
        </w:rPr>
        <w:t xml:space="preserve">. L.J. </w:t>
      </w:r>
      <w:r w:rsidRPr="00036097">
        <w:rPr>
          <w:rFonts w:eastAsia="Century Schoolbook"/>
          <w:color w:val="000000"/>
        </w:rPr>
        <w:t>665, 666 (</w:t>
      </w:r>
      <w:r w:rsidRPr="009F549F">
        <w:rPr>
          <w:rFonts w:eastAsia="Century Schoolbook"/>
          <w:color w:val="000000"/>
        </w:rPr>
        <w:t>2022</w:t>
      </w:r>
      <w:r w:rsidRPr="00036097">
        <w:rPr>
          <w:rFonts w:eastAsia="Century Schoolbook"/>
          <w:color w:val="000000"/>
        </w:rPr>
        <w:t>).</w:t>
      </w:r>
    </w:p>
  </w:footnote>
  <w:footnote w:id="8">
    <w:p w14:paraId="1440E585" w14:textId="0F9B26A2" w:rsidR="006E30B5" w:rsidRPr="009F549F" w:rsidRDefault="006E30B5">
      <w:pPr>
        <w:pBdr>
          <w:top w:val="nil"/>
          <w:left w:val="nil"/>
          <w:bottom w:val="nil"/>
          <w:right w:val="nil"/>
          <w:between w:val="nil"/>
        </w:pBdr>
        <w:rPr>
          <w:rFonts w:eastAsia="Century Schoolbook"/>
          <w:color w:val="000000"/>
        </w:rPr>
      </w:pPr>
      <w:r w:rsidRPr="009F549F">
        <w:rPr>
          <w:vertAlign w:val="superscript"/>
        </w:rPr>
        <w:footnoteRef/>
      </w:r>
      <w:r w:rsidRPr="009F549F">
        <w:rPr>
          <w:rFonts w:eastAsia="Century Schoolbook"/>
          <w:color w:val="000000"/>
        </w:rPr>
        <w:t xml:space="preserve"> </w:t>
      </w:r>
      <w:r w:rsidRPr="009F549F">
        <w:rPr>
          <w:rFonts w:eastAsia="Century Schoolbook"/>
          <w:i/>
          <w:color w:val="000000"/>
        </w:rPr>
        <w:t>See, e.g.</w:t>
      </w:r>
      <w:r w:rsidRPr="009F549F">
        <w:rPr>
          <w:rFonts w:eastAsia="Century Schoolbook"/>
          <w:color w:val="000000"/>
        </w:rPr>
        <w:t xml:space="preserve">, Ari Glogower, </w:t>
      </w:r>
      <w:r w:rsidRPr="009F549F">
        <w:rPr>
          <w:rFonts w:eastAsia="Century Schoolbook"/>
          <w:i/>
          <w:color w:val="000000"/>
        </w:rPr>
        <w:t>Taxing Inequality</w:t>
      </w:r>
      <w:r w:rsidRPr="009F549F">
        <w:rPr>
          <w:rFonts w:eastAsia="Century Schoolbook"/>
          <w:color w:val="000000"/>
        </w:rPr>
        <w:t xml:space="preserve">, 93 N.Y.U. L. Rev. </w:t>
      </w:r>
      <w:r w:rsidRPr="009F549F">
        <w:rPr>
          <w:rFonts w:eastAsia="Century Schoolbook"/>
          <w:color w:val="000000"/>
        </w:rPr>
        <w:t xml:space="preserve">1421, </w:t>
      </w:r>
      <w:r w:rsidRPr="00036097">
        <w:rPr>
          <w:rFonts w:eastAsia="Century Schoolbook"/>
          <w:color w:val="000000"/>
        </w:rPr>
        <w:t>1445–49</w:t>
      </w:r>
      <w:r w:rsidRPr="009F549F">
        <w:rPr>
          <w:rFonts w:eastAsia="Century Schoolbook"/>
          <w:color w:val="000000"/>
        </w:rPr>
        <w:t xml:space="preserve"> (2018</w:t>
      </w:r>
      <w:r w:rsidRPr="00036097">
        <w:rPr>
          <w:rFonts w:eastAsia="Century Schoolbook"/>
          <w:color w:val="000000"/>
        </w:rPr>
        <w:t xml:space="preserve">) [hereinafter </w:t>
      </w:r>
      <w:r w:rsidRPr="00DC6D98">
        <w:rPr>
          <w:rFonts w:eastAsia="Century Schoolbook"/>
          <w:i/>
          <w:iCs/>
          <w:color w:val="000000"/>
        </w:rPr>
        <w:t>Taxing Inequality</w:t>
      </w:r>
      <w:r w:rsidRPr="00036097">
        <w:rPr>
          <w:rFonts w:eastAsia="Century Schoolbook"/>
          <w:color w:val="000000"/>
        </w:rPr>
        <w:t>] (describing the relative economic power theory “used by political scientists to explain how economic inequality generates harmful social hierarchies and distorts political outcomes” and its implications</w:t>
      </w:r>
      <w:r w:rsidRPr="009F549F">
        <w:rPr>
          <w:rFonts w:eastAsia="Century Schoolbook"/>
          <w:color w:val="000000"/>
        </w:rPr>
        <w:t xml:space="preserve">); </w:t>
      </w:r>
      <w:r w:rsidRPr="009F549F">
        <w:rPr>
          <w:rFonts w:eastAsia="Century Schoolbook"/>
          <w:smallCaps/>
          <w:color w:val="000000"/>
        </w:rPr>
        <w:t>Larry M. Bartels, Unequal Democracy</w:t>
      </w:r>
      <w:r w:rsidRPr="00036097">
        <w:rPr>
          <w:rFonts w:eastAsia="Century Schoolbook"/>
          <w:smallCaps/>
          <w:color w:val="000000"/>
        </w:rPr>
        <w:t>: The Political Economy of the New Gilded Age</w:t>
      </w:r>
      <w:r w:rsidRPr="00036097">
        <w:rPr>
          <w:rFonts w:eastAsia="Century Schoolbook"/>
          <w:color w:val="000000"/>
        </w:rPr>
        <w:t xml:space="preserve"> 284</w:t>
      </w:r>
      <w:r w:rsidRPr="009F549F">
        <w:rPr>
          <w:rFonts w:eastAsia="Century Schoolbook"/>
          <w:color w:val="000000"/>
        </w:rPr>
        <w:t xml:space="preserve"> (2d ed. </w:t>
      </w:r>
      <w:r w:rsidRPr="00036097">
        <w:rPr>
          <w:rFonts w:eastAsia="Century Schoolbook"/>
          <w:color w:val="000000"/>
        </w:rPr>
        <w:t>2018</w:t>
      </w:r>
      <w:r w:rsidRPr="009F549F">
        <w:rPr>
          <w:rFonts w:eastAsia="Century Schoolbook"/>
          <w:color w:val="000000"/>
        </w:rPr>
        <w:t>) (“Economic inequality clearly has pervasive, corrosive effects on political representation and policy</w:t>
      </w:r>
      <w:r w:rsidRPr="00036097">
        <w:rPr>
          <w:rFonts w:eastAsia="Century Schoolbook"/>
          <w:color w:val="000000"/>
        </w:rPr>
        <w:t xml:space="preserve"> </w:t>
      </w:r>
      <w:r w:rsidRPr="009F549F">
        <w:rPr>
          <w:rFonts w:eastAsia="Century Schoolbook"/>
          <w:color w:val="000000"/>
        </w:rPr>
        <w:t>making in contemporary America.”).</w:t>
      </w:r>
    </w:p>
  </w:footnote>
  <w:footnote w:id="9">
    <w:p w14:paraId="18B1E77A" w14:textId="06E0C3B2" w:rsidR="006E30B5" w:rsidRPr="009F549F" w:rsidRDefault="006E30B5">
      <w:pPr>
        <w:pBdr>
          <w:top w:val="nil"/>
          <w:left w:val="nil"/>
          <w:bottom w:val="nil"/>
          <w:right w:val="nil"/>
          <w:between w:val="nil"/>
        </w:pBdr>
        <w:rPr>
          <w:rFonts w:eastAsia="Century Schoolbook"/>
          <w:color w:val="000000"/>
        </w:rPr>
      </w:pPr>
      <w:r w:rsidRPr="009F549F">
        <w:rPr>
          <w:vertAlign w:val="superscript"/>
        </w:rPr>
        <w:footnoteRef/>
      </w:r>
      <w:r w:rsidRPr="009F549F">
        <w:rPr>
          <w:rFonts w:eastAsia="Century Schoolbook"/>
          <w:color w:val="000000"/>
        </w:rPr>
        <w:t xml:space="preserve"> </w:t>
      </w:r>
      <w:r w:rsidRPr="009F549F">
        <w:rPr>
          <w:rFonts w:eastAsia="Century Schoolbook"/>
          <w:i/>
          <w:color w:val="000000"/>
        </w:rPr>
        <w:t xml:space="preserve">See </w:t>
      </w:r>
      <w:r w:rsidRPr="009F549F">
        <w:rPr>
          <w:rFonts w:eastAsia="Century Schoolbook"/>
          <w:smallCaps/>
          <w:color w:val="000000"/>
        </w:rPr>
        <w:t xml:space="preserve">Joseph E. </w:t>
      </w:r>
      <w:r w:rsidRPr="009F549F">
        <w:rPr>
          <w:rFonts w:eastAsia="Century Schoolbook"/>
          <w:smallCaps/>
          <w:color w:val="000000"/>
        </w:rPr>
        <w:t xml:space="preserve">Stiglitz, The Price of Inequality: How </w:t>
      </w:r>
      <w:r w:rsidRPr="00036097">
        <w:rPr>
          <w:rFonts w:eastAsia="Century Schoolbook"/>
          <w:smallCaps/>
          <w:color w:val="000000"/>
        </w:rPr>
        <w:t>Today’s</w:t>
      </w:r>
      <w:r w:rsidRPr="009F549F">
        <w:rPr>
          <w:rFonts w:eastAsia="Century Schoolbook"/>
          <w:smallCaps/>
          <w:color w:val="000000"/>
        </w:rPr>
        <w:t xml:space="preserve"> Divided Society Endangers Our Future 93–117 (</w:t>
      </w:r>
      <w:r w:rsidRPr="00036097">
        <w:rPr>
          <w:rFonts w:eastAsia="Century Schoolbook"/>
          <w:color w:val="000000"/>
        </w:rPr>
        <w:t>2013</w:t>
      </w:r>
      <w:r w:rsidRPr="009F549F">
        <w:rPr>
          <w:rFonts w:eastAsia="Century Schoolbook"/>
          <w:color w:val="000000"/>
        </w:rPr>
        <w:t>);</w:t>
      </w:r>
      <w:r w:rsidRPr="009F549F">
        <w:rPr>
          <w:rFonts w:eastAsia="Century Schoolbook"/>
          <w:b/>
          <w:color w:val="000000"/>
        </w:rPr>
        <w:t xml:space="preserve"> </w:t>
      </w:r>
      <w:r w:rsidRPr="009F549F">
        <w:rPr>
          <w:rFonts w:eastAsia="Century Schoolbook"/>
          <w:color w:val="000000"/>
        </w:rPr>
        <w:t xml:space="preserve">Gamage &amp; Brooks, </w:t>
      </w:r>
      <w:r w:rsidRPr="009F549F">
        <w:rPr>
          <w:rFonts w:eastAsia="Century Schoolbook"/>
          <w:i/>
          <w:color w:val="000000"/>
        </w:rPr>
        <w:t>supra</w:t>
      </w:r>
      <w:r w:rsidRPr="009F549F">
        <w:rPr>
          <w:rFonts w:eastAsia="Century Schoolbook"/>
          <w:color w:val="000000"/>
        </w:rPr>
        <w:t xml:space="preserve"> note </w:t>
      </w:r>
      <w:r w:rsidRPr="00036097">
        <w:rPr>
          <w:rFonts w:eastAsia="Century Schoolbook"/>
          <w:color w:val="000000"/>
        </w:rPr>
        <w:fldChar w:fldCharType="begin"/>
      </w:r>
      <w:r w:rsidRPr="00036097">
        <w:rPr>
          <w:rFonts w:eastAsia="Century Schoolbook"/>
          <w:color w:val="000000"/>
        </w:rPr>
        <w:instrText xml:space="preserve"> NOTEREF _Ref115336225 \h  \* MERGEFORMAT </w:instrText>
      </w:r>
      <w:r w:rsidRPr="00036097">
        <w:rPr>
          <w:rFonts w:eastAsia="Century Schoolbook"/>
          <w:color w:val="000000"/>
        </w:rPr>
      </w:r>
      <w:r w:rsidRPr="00036097">
        <w:rPr>
          <w:rFonts w:eastAsia="Century Schoolbook"/>
          <w:color w:val="000000"/>
        </w:rPr>
        <w:fldChar w:fldCharType="separate"/>
      </w:r>
      <w:r>
        <w:rPr>
          <w:rFonts w:eastAsia="Century Schoolbook"/>
          <w:color w:val="000000"/>
        </w:rPr>
        <w:t>6</w:t>
      </w:r>
      <w:r w:rsidRPr="00036097">
        <w:rPr>
          <w:rFonts w:eastAsia="Century Schoolbook"/>
          <w:color w:val="000000"/>
        </w:rPr>
        <w:fldChar w:fldCharType="end"/>
      </w:r>
      <w:r w:rsidRPr="00036097">
        <w:rPr>
          <w:rFonts w:eastAsia="Century Schoolbook"/>
          <w:color w:val="000000"/>
        </w:rPr>
        <w:t>,</w:t>
      </w:r>
      <w:r w:rsidRPr="009F549F">
        <w:rPr>
          <w:rFonts w:eastAsia="Century Schoolbook"/>
          <w:color w:val="000000"/>
        </w:rPr>
        <w:t xml:space="preserve"> at </w:t>
      </w:r>
      <w:r w:rsidRPr="00036097">
        <w:rPr>
          <w:rFonts w:eastAsia="Century Schoolbook"/>
          <w:color w:val="000000"/>
        </w:rPr>
        <w:t xml:space="preserve">506–08 (“[T]he realization doctrine and deferral create harmful consequences for the tax system as a whole.”). </w:t>
      </w:r>
    </w:p>
  </w:footnote>
  <w:footnote w:id="10">
    <w:p w14:paraId="7C09E3B8" w14:textId="7C6DCDFB" w:rsidR="006E30B5" w:rsidRPr="009F549F" w:rsidRDefault="006E30B5">
      <w:pPr>
        <w:pBdr>
          <w:top w:val="nil"/>
          <w:left w:val="nil"/>
          <w:bottom w:val="nil"/>
          <w:right w:val="nil"/>
          <w:between w:val="nil"/>
        </w:pBdr>
        <w:rPr>
          <w:rFonts w:eastAsia="Century Schoolbook"/>
          <w:color w:val="000000"/>
        </w:rPr>
      </w:pPr>
      <w:r w:rsidRPr="009F549F">
        <w:rPr>
          <w:vertAlign w:val="superscript"/>
        </w:rPr>
        <w:footnoteRef/>
      </w:r>
      <w:r w:rsidRPr="009F549F">
        <w:rPr>
          <w:rFonts w:eastAsia="Century Schoolbook"/>
          <w:color w:val="000000"/>
        </w:rPr>
        <w:t xml:space="preserve"> </w:t>
      </w:r>
      <w:r w:rsidRPr="00036097">
        <w:rPr>
          <w:rFonts w:eastAsia="Century Schoolbook"/>
          <w:i/>
          <w:iCs/>
          <w:color w:val="000000"/>
        </w:rPr>
        <w:t>Tax Now or Tax Never</w:t>
      </w:r>
      <w:r w:rsidRPr="009F549F">
        <w:rPr>
          <w:rFonts w:eastAsia="Century Schoolbook"/>
          <w:color w:val="000000"/>
        </w:rPr>
        <w:t xml:space="preserve">, </w:t>
      </w:r>
      <w:r w:rsidRPr="009F549F">
        <w:rPr>
          <w:rFonts w:eastAsia="Century Schoolbook"/>
          <w:i/>
          <w:color w:val="000000"/>
        </w:rPr>
        <w:t>supra</w:t>
      </w:r>
      <w:r w:rsidRPr="009F549F">
        <w:rPr>
          <w:rFonts w:eastAsia="Century Schoolbook"/>
          <w:color w:val="000000"/>
        </w:rPr>
        <w:t xml:space="preserve"> note </w:t>
      </w:r>
      <w:r w:rsidRPr="00036097">
        <w:rPr>
          <w:rFonts w:eastAsia="Century Schoolbook"/>
          <w:color w:val="000000"/>
        </w:rPr>
        <w:fldChar w:fldCharType="begin"/>
      </w:r>
      <w:r w:rsidRPr="00036097">
        <w:rPr>
          <w:rFonts w:eastAsia="Century Schoolbook"/>
          <w:color w:val="000000"/>
        </w:rPr>
        <w:instrText xml:space="preserve"> NOTEREF _Ref115336225 \h  \* MERGEFORMAT </w:instrText>
      </w:r>
      <w:r w:rsidRPr="00036097">
        <w:rPr>
          <w:rFonts w:eastAsia="Century Schoolbook"/>
          <w:color w:val="000000"/>
        </w:rPr>
      </w:r>
      <w:r w:rsidRPr="00036097">
        <w:rPr>
          <w:rFonts w:eastAsia="Century Schoolbook"/>
          <w:color w:val="000000"/>
        </w:rPr>
        <w:fldChar w:fldCharType="separate"/>
      </w:r>
      <w:r>
        <w:rPr>
          <w:rFonts w:eastAsia="Century Schoolbook"/>
          <w:color w:val="000000"/>
        </w:rPr>
        <w:t>6</w:t>
      </w:r>
      <w:r w:rsidRPr="00036097">
        <w:rPr>
          <w:rFonts w:eastAsia="Century Schoolbook"/>
          <w:color w:val="000000"/>
        </w:rPr>
        <w:fldChar w:fldCharType="end"/>
      </w:r>
      <w:r w:rsidRPr="00036097">
        <w:rPr>
          <w:rFonts w:eastAsia="Century Schoolbook"/>
          <w:color w:val="000000"/>
        </w:rPr>
        <w:t>,</w:t>
      </w:r>
      <w:r w:rsidRPr="009F549F">
        <w:rPr>
          <w:rFonts w:eastAsia="Century Schoolbook"/>
          <w:color w:val="000000"/>
        </w:rPr>
        <w:t xml:space="preserve"> at </w:t>
      </w:r>
      <w:r w:rsidRPr="00036097">
        <w:rPr>
          <w:rFonts w:eastAsia="Century Schoolbook"/>
          <w:color w:val="000000"/>
        </w:rPr>
        <w:t>507</w:t>
      </w:r>
      <w:r w:rsidRPr="009F549F">
        <w:rPr>
          <w:rFonts w:eastAsia="Century Schoolbook"/>
          <w:color w:val="000000"/>
        </w:rPr>
        <w:t xml:space="preserve"> (“Thus, a well-designed wealth tax could potentially increase revenues by more than the entire existing corporate income tax.”). </w:t>
      </w:r>
    </w:p>
  </w:footnote>
  <w:footnote w:id="11">
    <w:p w14:paraId="22721716" w14:textId="66FB7F47" w:rsidR="006E30B5" w:rsidRPr="009F549F" w:rsidRDefault="006E30B5">
      <w:pPr>
        <w:pBdr>
          <w:top w:val="nil"/>
          <w:left w:val="nil"/>
          <w:bottom w:val="nil"/>
          <w:right w:val="nil"/>
          <w:between w:val="nil"/>
        </w:pBdr>
        <w:rPr>
          <w:rFonts w:eastAsia="Century Schoolbook"/>
          <w:color w:val="000000"/>
        </w:rPr>
      </w:pPr>
      <w:r w:rsidRPr="009F549F">
        <w:rPr>
          <w:vertAlign w:val="superscript"/>
        </w:rPr>
        <w:footnoteRef/>
      </w:r>
      <w:r w:rsidRPr="009F549F">
        <w:rPr>
          <w:rFonts w:eastAsia="Century Schoolbook"/>
          <w:color w:val="000000"/>
        </w:rPr>
        <w:t xml:space="preserve"> </w:t>
      </w:r>
      <w:r w:rsidRPr="009F549F">
        <w:rPr>
          <w:rFonts w:eastAsia="Century Schoolbook"/>
          <w:i/>
          <w:color w:val="000000"/>
        </w:rPr>
        <w:t xml:space="preserve">See </w:t>
      </w:r>
      <w:r w:rsidRPr="00036097">
        <w:rPr>
          <w:rFonts w:eastAsia="Century Schoolbook"/>
          <w:i/>
          <w:iCs/>
          <w:color w:val="000000"/>
        </w:rPr>
        <w:t>id</w:t>
      </w:r>
      <w:r w:rsidRPr="00036097">
        <w:rPr>
          <w:rFonts w:eastAsia="Century Schoolbook"/>
          <w:color w:val="000000"/>
        </w:rPr>
        <w:t>. at 487;</w:t>
      </w:r>
      <w:r w:rsidRPr="009F549F">
        <w:rPr>
          <w:rFonts w:eastAsia="Century Schoolbook"/>
          <w:color w:val="000000"/>
        </w:rPr>
        <w:t xml:space="preserve"> </w:t>
      </w:r>
      <w:r w:rsidRPr="009F549F">
        <w:rPr>
          <w:rFonts w:eastAsia="Century Schoolbook"/>
          <w:i/>
          <w:color w:val="000000"/>
        </w:rPr>
        <w:t>see</w:t>
      </w:r>
      <w:r w:rsidRPr="009F549F">
        <w:rPr>
          <w:rFonts w:eastAsia="Century Schoolbook"/>
          <w:color w:val="000000"/>
        </w:rPr>
        <w:t xml:space="preserve"> </w:t>
      </w:r>
      <w:r w:rsidRPr="003E642B">
        <w:rPr>
          <w:rFonts w:eastAsia="Century Schoolbook"/>
          <w:i/>
          <w:iCs/>
          <w:color w:val="000000"/>
        </w:rPr>
        <w:t>Taxing Inequality</w:t>
      </w:r>
      <w:r w:rsidRPr="009F549F">
        <w:rPr>
          <w:rFonts w:eastAsia="Century Schoolbook"/>
          <w:color w:val="000000"/>
        </w:rPr>
        <w:t xml:space="preserve">, </w:t>
      </w:r>
      <w:r w:rsidRPr="009F549F">
        <w:rPr>
          <w:rFonts w:eastAsia="Century Schoolbook"/>
          <w:i/>
          <w:color w:val="000000"/>
        </w:rPr>
        <w:t>supra</w:t>
      </w:r>
      <w:r w:rsidRPr="009F549F">
        <w:rPr>
          <w:rFonts w:eastAsia="Century Schoolbook"/>
          <w:color w:val="000000"/>
        </w:rPr>
        <w:t xml:space="preserve"> note </w:t>
      </w:r>
      <w:r w:rsidRPr="00036097">
        <w:rPr>
          <w:rFonts w:eastAsia="Century Schoolbook"/>
          <w:color w:val="000000"/>
        </w:rPr>
        <w:fldChar w:fldCharType="begin"/>
      </w:r>
      <w:r w:rsidRPr="00036097">
        <w:rPr>
          <w:rFonts w:eastAsia="Century Schoolbook"/>
          <w:color w:val="000000"/>
        </w:rPr>
        <w:instrText xml:space="preserve"> NOTEREF _Ref115614993 \h  \* MERGEFORMAT </w:instrText>
      </w:r>
      <w:r w:rsidRPr="00036097">
        <w:rPr>
          <w:rFonts w:eastAsia="Century Schoolbook"/>
          <w:color w:val="000000"/>
        </w:rPr>
      </w:r>
      <w:r w:rsidRPr="00036097">
        <w:rPr>
          <w:rFonts w:eastAsia="Century Schoolbook"/>
          <w:color w:val="000000"/>
        </w:rPr>
        <w:fldChar w:fldCharType="separate"/>
      </w:r>
      <w:r>
        <w:rPr>
          <w:rFonts w:eastAsia="Century Schoolbook"/>
          <w:color w:val="000000"/>
        </w:rPr>
        <w:t>7</w:t>
      </w:r>
      <w:r w:rsidRPr="00036097">
        <w:rPr>
          <w:rFonts w:eastAsia="Century Schoolbook"/>
          <w:color w:val="000000"/>
        </w:rPr>
        <w:fldChar w:fldCharType="end"/>
      </w:r>
      <w:r w:rsidRPr="00036097">
        <w:rPr>
          <w:rFonts w:eastAsia="Century Schoolbook"/>
          <w:color w:val="000000"/>
        </w:rPr>
        <w:t>, at 1426;</w:t>
      </w:r>
      <w:r w:rsidRPr="009F549F">
        <w:rPr>
          <w:rFonts w:eastAsia="Century Schoolbook"/>
          <w:color w:val="000000"/>
        </w:rPr>
        <w:t xml:space="preserve"> </w:t>
      </w:r>
      <w:r w:rsidRPr="009F549F">
        <w:rPr>
          <w:rFonts w:eastAsia="Century Schoolbook"/>
          <w:i/>
          <w:color w:val="000000"/>
        </w:rPr>
        <w:t>see also</w:t>
      </w:r>
      <w:r w:rsidRPr="009F549F">
        <w:rPr>
          <w:rFonts w:eastAsia="Century Schoolbook"/>
          <w:color w:val="000000"/>
        </w:rPr>
        <w:t xml:space="preserve"> </w:t>
      </w:r>
      <w:r w:rsidRPr="00036097">
        <w:rPr>
          <w:rFonts w:eastAsia="Century Schoolbook"/>
          <w:smallCaps/>
          <w:color w:val="000000"/>
        </w:rPr>
        <w:t xml:space="preserve">Roosevelt Inst., </w:t>
      </w:r>
      <w:r w:rsidRPr="009F549F">
        <w:rPr>
          <w:rFonts w:eastAsia="Century Schoolbook"/>
          <w:smallCaps/>
          <w:color w:val="000000"/>
        </w:rPr>
        <w:t>Jeremy Bearer-Friend</w:t>
      </w:r>
      <w:r w:rsidRPr="009F549F">
        <w:rPr>
          <w:rFonts w:eastAsia="Century Schoolbook"/>
          <w:color w:val="000000"/>
        </w:rPr>
        <w:t xml:space="preserve">, </w:t>
      </w:r>
      <w:r w:rsidRPr="009F549F">
        <w:rPr>
          <w:rFonts w:eastAsia="Century Schoolbook"/>
          <w:smallCaps/>
          <w:color w:val="000000"/>
        </w:rPr>
        <w:t>Restoring Democracy Through Tax Policy</w:t>
      </w:r>
      <w:r w:rsidRPr="009F549F">
        <w:rPr>
          <w:rFonts w:eastAsia="Century Schoolbook"/>
          <w:color w:val="000000"/>
        </w:rPr>
        <w:t xml:space="preserve"> (</w:t>
      </w:r>
      <w:r w:rsidRPr="00036097">
        <w:rPr>
          <w:rFonts w:eastAsia="Century Schoolbook"/>
          <w:color w:val="000000"/>
        </w:rPr>
        <w:t xml:space="preserve">Dec. </w:t>
      </w:r>
      <w:r w:rsidRPr="009F549F">
        <w:rPr>
          <w:rFonts w:eastAsia="Century Schoolbook"/>
          <w:color w:val="000000"/>
        </w:rPr>
        <w:t>2018), https://rooseveltinstitute.org/</w:t>
      </w:r>
      <w:r w:rsidRPr="00873A84">
        <w:rPr>
          <w:rFonts w:eastAsia="Century Schoolbook"/>
          <w:color w:val="000000"/>
        </w:rPr>
        <w:t>wp-content/uploads/2021/08/GDI_Restoring-Democracy-Through-Tax-Policy_201812.pdf</w:t>
      </w:r>
      <w:r w:rsidRPr="00036097">
        <w:rPr>
          <w:rFonts w:eastAsia="Century Schoolbook"/>
          <w:color w:val="000000"/>
        </w:rPr>
        <w:t xml:space="preserve"> [https://perma.cc/C8J8-7TQ9].</w:t>
      </w:r>
      <w:r w:rsidRPr="009F549F">
        <w:rPr>
          <w:rFonts w:eastAsia="Century Schoolbook"/>
          <w:color w:val="000000"/>
        </w:rPr>
        <w:t xml:space="preserve"> </w:t>
      </w:r>
      <w:r>
        <w:rPr>
          <w:rFonts w:eastAsia="Century Schoolbook"/>
          <w:color w:val="000000"/>
        </w:rPr>
        <w:t>O</w:t>
      </w:r>
      <w:r w:rsidRPr="009F549F">
        <w:rPr>
          <w:rFonts w:eastAsia="Century Schoolbook"/>
          <w:color w:val="000000"/>
        </w:rPr>
        <w:t xml:space="preserve">ther policies may also have a role to play in remedying inequality. </w:t>
      </w:r>
      <w:r w:rsidRPr="009F549F">
        <w:rPr>
          <w:rFonts w:eastAsia="Century Schoolbook"/>
          <w:i/>
          <w:color w:val="000000"/>
        </w:rPr>
        <w:t>See, e.g</w:t>
      </w:r>
      <w:r w:rsidRPr="009F549F">
        <w:rPr>
          <w:rFonts w:eastAsia="Century Schoolbook"/>
          <w:color w:val="000000"/>
        </w:rPr>
        <w:t xml:space="preserve">., Alex Raskolnikov, </w:t>
      </w:r>
      <w:r w:rsidRPr="009F549F">
        <w:rPr>
          <w:rFonts w:eastAsia="Century Schoolbook"/>
          <w:i/>
          <w:color w:val="000000"/>
        </w:rPr>
        <w:t>Distributional Arguments, in Reverse</w:t>
      </w:r>
      <w:r w:rsidRPr="009F549F">
        <w:rPr>
          <w:rFonts w:eastAsia="Century Schoolbook"/>
          <w:color w:val="000000"/>
        </w:rPr>
        <w:t xml:space="preserve">, 105 </w:t>
      </w:r>
      <w:r w:rsidRPr="009F549F">
        <w:rPr>
          <w:rFonts w:eastAsia="Century Schoolbook"/>
          <w:smallCaps/>
          <w:color w:val="000000"/>
        </w:rPr>
        <w:t>Minn. L. Rev.</w:t>
      </w:r>
      <w:r w:rsidRPr="009F549F">
        <w:rPr>
          <w:rFonts w:eastAsia="Century Schoolbook"/>
          <w:color w:val="000000"/>
        </w:rPr>
        <w:t xml:space="preserve"> 1583, </w:t>
      </w:r>
      <w:r w:rsidRPr="00036097">
        <w:rPr>
          <w:rFonts w:eastAsia="Century Schoolbook"/>
          <w:color w:val="000000"/>
        </w:rPr>
        <w:t>1646–52</w:t>
      </w:r>
      <w:r w:rsidRPr="009F549F">
        <w:rPr>
          <w:rFonts w:eastAsia="Century Schoolbook"/>
          <w:color w:val="000000"/>
        </w:rPr>
        <w:t xml:space="preserve"> (2021); Steven </w:t>
      </w:r>
      <w:r w:rsidRPr="00036097">
        <w:rPr>
          <w:rFonts w:eastAsia="Century Schoolbook"/>
          <w:color w:val="000000"/>
        </w:rPr>
        <w:t xml:space="preserve">K. </w:t>
      </w:r>
      <w:r w:rsidRPr="009F549F">
        <w:rPr>
          <w:rFonts w:eastAsia="Century Schoolbook"/>
          <w:color w:val="000000"/>
        </w:rPr>
        <w:t xml:space="preserve">Vogel, </w:t>
      </w:r>
      <w:r w:rsidRPr="009F549F">
        <w:rPr>
          <w:rFonts w:eastAsia="Century Schoolbook"/>
          <w:i/>
          <w:color w:val="000000"/>
        </w:rPr>
        <w:t>The Regulatory Roots of Inequality in America</w:t>
      </w:r>
      <w:r w:rsidRPr="009F549F">
        <w:rPr>
          <w:rFonts w:eastAsia="Century Schoolbook"/>
          <w:color w:val="000000"/>
        </w:rPr>
        <w:t>, 1 J.</w:t>
      </w:r>
      <w:r w:rsidRPr="007D6E99">
        <w:rPr>
          <w:rFonts w:ascii="Century Schoolbook" w:eastAsia="Century Schoolbook" w:hAnsi="Century Schoolbook" w:cs="Century Schoolbook"/>
          <w:color w:val="000000"/>
          <w:sz w:val="20"/>
          <w:szCs w:val="20"/>
        </w:rPr>
        <w:t xml:space="preserve"> </w:t>
      </w:r>
      <w:r w:rsidRPr="009F549F">
        <w:rPr>
          <w:rFonts w:eastAsia="Century Schoolbook"/>
          <w:color w:val="000000"/>
        </w:rPr>
        <w:t xml:space="preserve">L. </w:t>
      </w:r>
      <w:r w:rsidRPr="009F549F">
        <w:rPr>
          <w:rFonts w:eastAsia="Century Schoolbook"/>
          <w:smallCaps/>
          <w:color w:val="000000"/>
        </w:rPr>
        <w:t>&amp; Pol. Econ.</w:t>
      </w:r>
      <w:r w:rsidRPr="009F549F">
        <w:rPr>
          <w:rFonts w:eastAsia="Century Schoolbook"/>
          <w:color w:val="000000"/>
        </w:rPr>
        <w:t xml:space="preserve"> </w:t>
      </w:r>
      <w:r w:rsidRPr="00036097">
        <w:rPr>
          <w:rFonts w:eastAsia="Century Schoolbook"/>
          <w:color w:val="000000"/>
        </w:rPr>
        <w:t xml:space="preserve">272, </w:t>
      </w:r>
      <w:r w:rsidRPr="009F549F">
        <w:rPr>
          <w:rFonts w:eastAsia="Century Schoolbook"/>
          <w:color w:val="000000"/>
        </w:rPr>
        <w:t>272 (2021).</w:t>
      </w:r>
    </w:p>
  </w:footnote>
  <w:footnote w:id="12">
    <w:p w14:paraId="0DEC699B" w14:textId="1ADE7E78" w:rsidR="006E30B5" w:rsidRPr="009F549F" w:rsidRDefault="006E30B5">
      <w:pPr>
        <w:pBdr>
          <w:top w:val="nil"/>
          <w:left w:val="nil"/>
          <w:bottom w:val="nil"/>
          <w:right w:val="nil"/>
          <w:between w:val="nil"/>
        </w:pBdr>
        <w:rPr>
          <w:rFonts w:eastAsia="Century Schoolbook"/>
          <w:color w:val="000000"/>
        </w:rPr>
      </w:pPr>
      <w:r w:rsidRPr="009F549F">
        <w:rPr>
          <w:vertAlign w:val="superscript"/>
        </w:rPr>
        <w:footnoteRef/>
      </w:r>
      <w:r w:rsidRPr="009F549F">
        <w:rPr>
          <w:rFonts w:eastAsia="Century Schoolbook"/>
          <w:color w:val="000000"/>
        </w:rPr>
        <w:t xml:space="preserve"> </w:t>
      </w:r>
      <w:r w:rsidRPr="009F549F">
        <w:rPr>
          <w:rFonts w:eastAsia="Century Schoolbook"/>
          <w:i/>
          <w:color w:val="000000"/>
        </w:rPr>
        <w:t>See, e.g.</w:t>
      </w:r>
      <w:r w:rsidRPr="009F549F">
        <w:rPr>
          <w:rFonts w:eastAsia="Century Schoolbook"/>
          <w:color w:val="000000"/>
        </w:rPr>
        <w:t xml:space="preserve">, Greg </w:t>
      </w:r>
      <w:proofErr w:type="spellStart"/>
      <w:r w:rsidRPr="009F549F">
        <w:rPr>
          <w:rFonts w:eastAsia="Century Schoolbook"/>
          <w:color w:val="000000"/>
        </w:rPr>
        <w:t>Leiserson</w:t>
      </w:r>
      <w:proofErr w:type="spellEnd"/>
      <w:r w:rsidRPr="009F549F">
        <w:rPr>
          <w:rFonts w:eastAsia="Century Schoolbook"/>
          <w:color w:val="000000"/>
        </w:rPr>
        <w:t xml:space="preserve">, </w:t>
      </w:r>
      <w:r w:rsidRPr="009F549F">
        <w:rPr>
          <w:rFonts w:eastAsia="Century Schoolbook"/>
          <w:i/>
          <w:color w:val="000000"/>
        </w:rPr>
        <w:t>Taxing Wealth</w:t>
      </w:r>
      <w:r w:rsidRPr="009F549F">
        <w:rPr>
          <w:rFonts w:eastAsia="Century Schoolbook"/>
          <w:color w:val="000000"/>
        </w:rPr>
        <w:t xml:space="preserve">, </w:t>
      </w:r>
      <w:r w:rsidRPr="009F549F">
        <w:rPr>
          <w:rFonts w:eastAsia="Century Schoolbook"/>
          <w:i/>
          <w:color w:val="000000"/>
        </w:rPr>
        <w:t>in</w:t>
      </w:r>
      <w:r w:rsidRPr="009F549F">
        <w:rPr>
          <w:rFonts w:eastAsia="Century Schoolbook"/>
          <w:color w:val="000000"/>
        </w:rPr>
        <w:t xml:space="preserve"> </w:t>
      </w:r>
      <w:r w:rsidRPr="009F549F">
        <w:rPr>
          <w:rFonts w:eastAsia="Century Schoolbook"/>
          <w:smallCaps/>
          <w:color w:val="000000"/>
        </w:rPr>
        <w:t xml:space="preserve">Tackling the Tax Code: Equitable and Efficient Ways </w:t>
      </w:r>
      <w:r w:rsidRPr="00036097">
        <w:rPr>
          <w:rFonts w:eastAsia="Century Schoolbook"/>
          <w:smallCaps/>
          <w:color w:val="000000"/>
        </w:rPr>
        <w:t>To</w:t>
      </w:r>
      <w:r w:rsidRPr="009F549F">
        <w:rPr>
          <w:rFonts w:eastAsia="Century Schoolbook"/>
          <w:smallCaps/>
          <w:color w:val="000000"/>
        </w:rPr>
        <w:t xml:space="preserve"> Raise Revenue</w:t>
      </w:r>
      <w:r w:rsidRPr="009F549F">
        <w:rPr>
          <w:rFonts w:eastAsia="Century Schoolbook"/>
          <w:color w:val="000000"/>
        </w:rPr>
        <w:t xml:space="preserve"> 89, 93 (</w:t>
      </w:r>
      <w:r w:rsidRPr="00036097">
        <w:rPr>
          <w:rFonts w:eastAsia="Century Schoolbook"/>
          <w:color w:val="000000"/>
        </w:rPr>
        <w:t xml:space="preserve">Jay </w:t>
      </w:r>
      <w:proofErr w:type="spellStart"/>
      <w:r w:rsidRPr="00036097">
        <w:rPr>
          <w:rFonts w:eastAsia="Century Schoolbook"/>
          <w:color w:val="000000"/>
        </w:rPr>
        <w:t>Shambaugh</w:t>
      </w:r>
      <w:proofErr w:type="spellEnd"/>
      <w:r w:rsidRPr="00036097">
        <w:rPr>
          <w:rFonts w:eastAsia="Century Schoolbook"/>
          <w:color w:val="000000"/>
        </w:rPr>
        <w:t xml:space="preserve"> &amp; Ryan Nunn</w:t>
      </w:r>
      <w:r w:rsidRPr="009F549F">
        <w:rPr>
          <w:rFonts w:eastAsia="Century Schoolbook"/>
          <w:color w:val="000000"/>
        </w:rPr>
        <w:t xml:space="preserve"> eds., 2020); Lily Batchelder &amp; David </w:t>
      </w:r>
      <w:proofErr w:type="spellStart"/>
      <w:r w:rsidRPr="009F549F">
        <w:rPr>
          <w:rFonts w:eastAsia="Century Schoolbook"/>
          <w:color w:val="000000"/>
        </w:rPr>
        <w:t>Kamin</w:t>
      </w:r>
      <w:proofErr w:type="spellEnd"/>
      <w:r w:rsidRPr="009F549F">
        <w:rPr>
          <w:rFonts w:eastAsia="Century Schoolbook"/>
          <w:color w:val="000000"/>
        </w:rPr>
        <w:t>, Taxing the Rich: Issues and Options</w:t>
      </w:r>
      <w:r w:rsidRPr="00036097">
        <w:rPr>
          <w:rFonts w:eastAsia="Century Schoolbook"/>
          <w:color w:val="000000"/>
        </w:rPr>
        <w:t xml:space="preserve"> 4–8 (</w:t>
      </w:r>
      <w:r w:rsidRPr="009F549F">
        <w:rPr>
          <w:rFonts w:eastAsia="Century Schoolbook"/>
          <w:color w:val="000000"/>
        </w:rPr>
        <w:t>Sept. 11, 2019</w:t>
      </w:r>
      <w:r w:rsidRPr="00036097">
        <w:rPr>
          <w:rFonts w:eastAsia="Century Schoolbook"/>
          <w:color w:val="000000"/>
        </w:rPr>
        <w:t>) (unpublished manuscript) (</w:t>
      </w:r>
      <w:r w:rsidRPr="009F549F">
        <w:rPr>
          <w:rFonts w:eastAsia="Century Schoolbook"/>
          <w:color w:val="000000"/>
        </w:rPr>
        <w:t>https://ssrn.com/</w:t>
      </w:r>
      <w:r w:rsidRPr="00036097" w:rsidDel="00737266">
        <w:rPr>
          <w:rFonts w:eastAsia="Century Schoolbook"/>
          <w:color w:val="000000"/>
        </w:rPr>
        <w:t xml:space="preserve"> </w:t>
      </w:r>
      <w:proofErr w:type="spellStart"/>
      <w:r w:rsidRPr="009F549F">
        <w:rPr>
          <w:rFonts w:eastAsia="Century Schoolbook"/>
          <w:color w:val="000000"/>
        </w:rPr>
        <w:t>abstract</w:t>
      </w:r>
      <w:r w:rsidRPr="00036097">
        <w:rPr>
          <w:rFonts w:eastAsia="Century Schoolbook"/>
          <w:color w:val="000000"/>
        </w:rPr>
        <w:t>_id</w:t>
      </w:r>
      <w:proofErr w:type="spellEnd"/>
      <w:r w:rsidRPr="009F549F">
        <w:rPr>
          <w:rFonts w:eastAsia="Century Schoolbook"/>
          <w:color w:val="000000"/>
        </w:rPr>
        <w:t>=3452274</w:t>
      </w:r>
      <w:r w:rsidRPr="00036097" w:rsidDel="00F5068F">
        <w:rPr>
          <w:rFonts w:eastAsia="Century Schoolbook"/>
          <w:color w:val="000000"/>
        </w:rPr>
        <w:t xml:space="preserve"> </w:t>
      </w:r>
      <w:r w:rsidRPr="00036097">
        <w:rPr>
          <w:rFonts w:eastAsia="Century Schoolbook"/>
          <w:color w:val="000000"/>
        </w:rPr>
        <w:t>[https://perma.cc/5KR5-CTM7]).</w:t>
      </w:r>
    </w:p>
  </w:footnote>
  <w:footnote w:id="13">
    <w:p w14:paraId="4F02BD7A" w14:textId="03A6B1C8" w:rsidR="006E30B5" w:rsidRPr="009F549F" w:rsidRDefault="006E30B5">
      <w:pPr>
        <w:pStyle w:val="FootnoteText"/>
        <w:rPr>
          <w:rFonts w:ascii="Times New Roman" w:hAnsi="Times New Roman"/>
          <w:sz w:val="24"/>
          <w:lang w:val="en-US"/>
        </w:rPr>
      </w:pPr>
      <w:r w:rsidRPr="009F549F">
        <w:rPr>
          <w:rStyle w:val="FootnoteReference"/>
          <w:rFonts w:ascii="Times New Roman" w:hAnsi="Times New Roman"/>
          <w:sz w:val="24"/>
        </w:rPr>
        <w:footnoteRef/>
      </w:r>
      <w:r w:rsidRPr="00036097">
        <w:rPr>
          <w:rFonts w:ascii="Times New Roman" w:hAnsi="Times New Roman" w:cs="Times New Roman"/>
          <w:sz w:val="24"/>
          <w:szCs w:val="24"/>
        </w:rPr>
        <w:t xml:space="preserve"> </w:t>
      </w:r>
      <w:r w:rsidRPr="00036097">
        <w:rPr>
          <w:rFonts w:ascii="Times New Roman" w:eastAsia="Century Schoolbook" w:hAnsi="Times New Roman" w:cs="Times New Roman"/>
          <w:i/>
          <w:color w:val="000000"/>
          <w:sz w:val="24"/>
          <w:szCs w:val="24"/>
        </w:rPr>
        <w:t>See</w:t>
      </w:r>
      <w:r w:rsidRPr="00036097">
        <w:rPr>
          <w:rFonts w:ascii="Times New Roman" w:eastAsia="Century Schoolbook" w:hAnsi="Times New Roman" w:cs="Times New Roman"/>
          <w:color w:val="000000"/>
          <w:sz w:val="24"/>
          <w:szCs w:val="24"/>
        </w:rPr>
        <w:t xml:space="preserve"> </w:t>
      </w:r>
      <w:r w:rsidRPr="00036097">
        <w:rPr>
          <w:rFonts w:ascii="Times New Roman" w:eastAsia="Century Schoolbook" w:hAnsi="Times New Roman" w:cs="Times New Roman"/>
          <w:i/>
          <w:iCs/>
          <w:color w:val="000000"/>
          <w:sz w:val="24"/>
          <w:szCs w:val="24"/>
        </w:rPr>
        <w:t>Taxing Inequality</w:t>
      </w:r>
      <w:r w:rsidRPr="00036097">
        <w:rPr>
          <w:rFonts w:ascii="Times New Roman" w:eastAsia="Century Schoolbook" w:hAnsi="Times New Roman" w:cs="Times New Roman"/>
          <w:color w:val="000000"/>
          <w:sz w:val="24"/>
          <w:szCs w:val="24"/>
        </w:rPr>
        <w:t xml:space="preserve">, </w:t>
      </w:r>
      <w:r w:rsidRPr="00036097">
        <w:rPr>
          <w:rFonts w:ascii="Times New Roman" w:eastAsia="Century Schoolbook" w:hAnsi="Times New Roman" w:cs="Times New Roman"/>
          <w:i/>
          <w:color w:val="000000"/>
          <w:sz w:val="24"/>
          <w:szCs w:val="24"/>
        </w:rPr>
        <w:t>supra</w:t>
      </w:r>
      <w:r w:rsidRPr="00036097">
        <w:rPr>
          <w:rFonts w:ascii="Times New Roman" w:eastAsia="Century Schoolbook" w:hAnsi="Times New Roman" w:cs="Times New Roman"/>
          <w:color w:val="000000"/>
          <w:sz w:val="24"/>
          <w:szCs w:val="24"/>
        </w:rPr>
        <w:t xml:space="preserve"> note </w:t>
      </w:r>
      <w:r>
        <w:rPr>
          <w:rFonts w:ascii="Times New Roman" w:eastAsia="Century Schoolbook" w:hAnsi="Times New Roman" w:cs="Times New Roman"/>
          <w:color w:val="000000"/>
          <w:sz w:val="24"/>
          <w:szCs w:val="24"/>
        </w:rPr>
        <w:fldChar w:fldCharType="begin"/>
      </w:r>
      <w:r>
        <w:rPr>
          <w:rFonts w:ascii="Times New Roman" w:eastAsia="Century Schoolbook" w:hAnsi="Times New Roman" w:cs="Times New Roman"/>
          <w:color w:val="000000"/>
          <w:sz w:val="24"/>
          <w:szCs w:val="24"/>
        </w:rPr>
        <w:instrText xml:space="preserve"> NOTEREF _Ref115614993 \h </w:instrText>
      </w:r>
      <w:r>
        <w:rPr>
          <w:rFonts w:ascii="Times New Roman" w:eastAsia="Century Schoolbook" w:hAnsi="Times New Roman" w:cs="Times New Roman"/>
          <w:color w:val="000000"/>
          <w:sz w:val="24"/>
          <w:szCs w:val="24"/>
        </w:rPr>
      </w:r>
      <w:r>
        <w:rPr>
          <w:rFonts w:ascii="Times New Roman" w:eastAsia="Century Schoolbook" w:hAnsi="Times New Roman" w:cs="Times New Roman"/>
          <w:color w:val="000000"/>
          <w:sz w:val="24"/>
          <w:szCs w:val="24"/>
        </w:rPr>
        <w:fldChar w:fldCharType="separate"/>
      </w:r>
      <w:r>
        <w:rPr>
          <w:rFonts w:ascii="Times New Roman" w:eastAsia="Century Schoolbook" w:hAnsi="Times New Roman" w:cs="Times New Roman"/>
          <w:color w:val="000000"/>
          <w:sz w:val="24"/>
          <w:szCs w:val="24"/>
        </w:rPr>
        <w:t>7</w:t>
      </w:r>
      <w:r>
        <w:rPr>
          <w:rFonts w:ascii="Times New Roman" w:eastAsia="Century Schoolbook" w:hAnsi="Times New Roman" w:cs="Times New Roman"/>
          <w:color w:val="000000"/>
          <w:sz w:val="24"/>
          <w:szCs w:val="24"/>
        </w:rPr>
        <w:fldChar w:fldCharType="end"/>
      </w:r>
      <w:r w:rsidRPr="00036097">
        <w:rPr>
          <w:rFonts w:ascii="Times New Roman" w:eastAsia="Century Schoolbook" w:hAnsi="Times New Roman" w:cs="Times New Roman"/>
          <w:color w:val="000000"/>
          <w:sz w:val="24"/>
          <w:szCs w:val="24"/>
        </w:rPr>
        <w:t>, 506–20 (discussing some of the consequences of the current U.S. tax system</w:t>
      </w:r>
      <w:r>
        <w:rPr>
          <w:rFonts w:ascii="Times New Roman" w:eastAsia="Century Schoolbook" w:hAnsi="Times New Roman" w:cs="Times New Roman"/>
          <w:color w:val="000000"/>
          <w:sz w:val="24"/>
          <w:szCs w:val="24"/>
        </w:rPr>
        <w:t>,</w:t>
      </w:r>
      <w:r w:rsidRPr="00036097">
        <w:rPr>
          <w:rFonts w:ascii="Times New Roman" w:eastAsia="Century Schoolbook" w:hAnsi="Times New Roman" w:cs="Times New Roman"/>
          <w:color w:val="000000"/>
          <w:sz w:val="24"/>
          <w:szCs w:val="24"/>
        </w:rPr>
        <w:t xml:space="preserve"> including lost tax revenues, vertical and horizontal inequity, and economic inefficiency).</w:t>
      </w:r>
    </w:p>
  </w:footnote>
  <w:footnote w:id="14">
    <w:p w14:paraId="419C2524" w14:textId="4E7FC9D0" w:rsidR="006E30B5" w:rsidRPr="009F549F" w:rsidRDefault="006E30B5">
      <w:pPr>
        <w:pBdr>
          <w:top w:val="nil"/>
          <w:left w:val="nil"/>
          <w:bottom w:val="nil"/>
          <w:right w:val="nil"/>
          <w:between w:val="nil"/>
        </w:pBdr>
        <w:rPr>
          <w:rFonts w:eastAsia="Century Schoolbook"/>
          <w:color w:val="000000"/>
        </w:rPr>
      </w:pPr>
      <w:r w:rsidRPr="009F549F">
        <w:rPr>
          <w:vertAlign w:val="superscript"/>
        </w:rPr>
        <w:footnoteRef/>
      </w:r>
      <w:r w:rsidRPr="009F549F">
        <w:rPr>
          <w:rFonts w:eastAsia="Century Schoolbook"/>
          <w:color w:val="000000"/>
        </w:rPr>
        <w:t xml:space="preserve"> </w:t>
      </w:r>
      <w:r w:rsidRPr="009F549F">
        <w:rPr>
          <w:rFonts w:eastAsia="Century Schoolbook"/>
          <w:i/>
          <w:color w:val="000000"/>
        </w:rPr>
        <w:t>E.g.</w:t>
      </w:r>
      <w:r w:rsidRPr="009F549F">
        <w:rPr>
          <w:rFonts w:eastAsia="Century Schoolbook"/>
          <w:color w:val="000000"/>
        </w:rPr>
        <w:t>, Natasha Sarin, Lawrence Summers</w:t>
      </w:r>
      <w:r w:rsidRPr="007D6E99">
        <w:rPr>
          <w:rFonts w:ascii="Century Schoolbook" w:eastAsia="Century Schoolbook" w:hAnsi="Century Schoolbook" w:cs="Century Schoolbook"/>
          <w:color w:val="000000"/>
          <w:sz w:val="20"/>
          <w:szCs w:val="20"/>
        </w:rPr>
        <w:t>,</w:t>
      </w:r>
      <w:r w:rsidRPr="009F549F">
        <w:rPr>
          <w:rFonts w:eastAsia="Century Schoolbook"/>
          <w:color w:val="000000"/>
        </w:rPr>
        <w:t xml:space="preserve"> &amp; Joe </w:t>
      </w:r>
      <w:proofErr w:type="spellStart"/>
      <w:r w:rsidRPr="009F549F">
        <w:rPr>
          <w:rFonts w:eastAsia="Century Schoolbook"/>
          <w:color w:val="000000"/>
        </w:rPr>
        <w:t>Kupferberg</w:t>
      </w:r>
      <w:proofErr w:type="spellEnd"/>
      <w:r w:rsidRPr="009F549F">
        <w:rPr>
          <w:rFonts w:eastAsia="Century Schoolbook"/>
          <w:color w:val="000000"/>
        </w:rPr>
        <w:t xml:space="preserve">, </w:t>
      </w:r>
      <w:r w:rsidRPr="009F549F">
        <w:rPr>
          <w:rFonts w:eastAsia="Century Schoolbook"/>
          <w:i/>
          <w:color w:val="000000"/>
        </w:rPr>
        <w:t>Tax Reform for Progressivity: A Pragmatic Approach</w:t>
      </w:r>
      <w:r w:rsidRPr="00036097">
        <w:rPr>
          <w:rFonts w:eastAsia="Century Schoolbook"/>
          <w:iCs/>
          <w:color w:val="000000"/>
        </w:rPr>
        <w:t>,</w:t>
      </w:r>
      <w:r w:rsidRPr="009F549F">
        <w:rPr>
          <w:rFonts w:eastAsia="Century Schoolbook"/>
          <w:color w:val="000000"/>
        </w:rPr>
        <w:t xml:space="preserve"> </w:t>
      </w:r>
      <w:r w:rsidRPr="009F549F">
        <w:rPr>
          <w:rFonts w:eastAsia="Century Schoolbook"/>
          <w:i/>
          <w:color w:val="000000"/>
        </w:rPr>
        <w:t>in</w:t>
      </w:r>
      <w:r w:rsidRPr="009F549F">
        <w:rPr>
          <w:rFonts w:eastAsia="Century Schoolbook"/>
          <w:color w:val="000000"/>
        </w:rPr>
        <w:t xml:space="preserve"> </w:t>
      </w:r>
      <w:r w:rsidRPr="009F549F">
        <w:rPr>
          <w:rFonts w:eastAsia="Century Schoolbook"/>
          <w:smallCaps/>
          <w:color w:val="000000"/>
        </w:rPr>
        <w:t xml:space="preserve">Tackling the Tax Code: Efficient and Equitable Ways </w:t>
      </w:r>
      <w:r w:rsidRPr="00036097">
        <w:rPr>
          <w:rFonts w:eastAsia="Century Schoolbook"/>
          <w:smallCaps/>
          <w:color w:val="000000"/>
        </w:rPr>
        <w:t>To</w:t>
      </w:r>
      <w:r w:rsidRPr="009F549F">
        <w:rPr>
          <w:rFonts w:eastAsia="Century Schoolbook"/>
          <w:smallCaps/>
          <w:color w:val="000000"/>
        </w:rPr>
        <w:t xml:space="preserve"> Raise Revenue</w:t>
      </w:r>
      <w:r w:rsidRPr="009F549F">
        <w:rPr>
          <w:rFonts w:eastAsia="Century Schoolbook"/>
          <w:color w:val="000000"/>
        </w:rPr>
        <w:t xml:space="preserve"> 317, </w:t>
      </w:r>
      <w:r w:rsidRPr="00036097">
        <w:rPr>
          <w:rFonts w:eastAsia="Century Schoolbook"/>
          <w:color w:val="000000"/>
        </w:rPr>
        <w:t>344 (</w:t>
      </w:r>
      <w:r w:rsidRPr="009F549F">
        <w:rPr>
          <w:rFonts w:eastAsia="Century Schoolbook"/>
          <w:color w:val="000000"/>
        </w:rPr>
        <w:t xml:space="preserve">Jay </w:t>
      </w:r>
      <w:proofErr w:type="spellStart"/>
      <w:r w:rsidRPr="009F549F">
        <w:rPr>
          <w:rFonts w:eastAsia="Century Schoolbook"/>
          <w:color w:val="000000"/>
        </w:rPr>
        <w:t>Shambaugh</w:t>
      </w:r>
      <w:proofErr w:type="spellEnd"/>
      <w:r w:rsidRPr="009F549F">
        <w:rPr>
          <w:rFonts w:eastAsia="Century Schoolbook"/>
          <w:color w:val="000000"/>
        </w:rPr>
        <w:t xml:space="preserve"> &amp; Ryan Nunn eds. 2020).</w:t>
      </w:r>
    </w:p>
  </w:footnote>
  <w:footnote w:id="15">
    <w:p w14:paraId="1E49BB02" w14:textId="410D4C7A" w:rsidR="006E30B5" w:rsidRPr="009F549F" w:rsidRDefault="006E30B5">
      <w:pPr>
        <w:pBdr>
          <w:top w:val="nil"/>
          <w:left w:val="nil"/>
          <w:bottom w:val="nil"/>
          <w:right w:val="nil"/>
          <w:between w:val="nil"/>
        </w:pBdr>
        <w:rPr>
          <w:rFonts w:eastAsia="Century Schoolbook"/>
          <w:b/>
          <w:color w:val="000000"/>
        </w:rPr>
      </w:pPr>
      <w:r w:rsidRPr="009F549F">
        <w:rPr>
          <w:vertAlign w:val="superscript"/>
        </w:rPr>
        <w:footnoteRef/>
      </w:r>
      <w:r w:rsidRPr="009F549F">
        <w:rPr>
          <w:rFonts w:eastAsia="Century Schoolbook"/>
          <w:color w:val="000000"/>
        </w:rPr>
        <w:t xml:space="preserve"> Sarin et al.</w:t>
      </w:r>
      <w:r w:rsidRPr="009F549F">
        <w:rPr>
          <w:rFonts w:eastAsia="Century Schoolbook"/>
          <w:color w:val="000000"/>
        </w:rPr>
        <w:t xml:space="preserve">, </w:t>
      </w:r>
      <w:r w:rsidRPr="009F549F">
        <w:rPr>
          <w:rFonts w:eastAsia="Century Schoolbook"/>
          <w:i/>
          <w:color w:val="000000"/>
        </w:rPr>
        <w:t>supra</w:t>
      </w:r>
      <w:r w:rsidRPr="009F549F">
        <w:rPr>
          <w:rFonts w:eastAsia="Century Schoolbook"/>
          <w:color w:val="000000"/>
        </w:rPr>
        <w:t xml:space="preserve"> note </w:t>
      </w:r>
      <w:r w:rsidRPr="00036097">
        <w:rPr>
          <w:rFonts w:eastAsia="Century Schoolbook"/>
          <w:color w:val="000000"/>
        </w:rPr>
        <w:fldChar w:fldCharType="begin"/>
      </w:r>
      <w:r w:rsidRPr="00036097">
        <w:rPr>
          <w:rFonts w:eastAsia="Century Schoolbook"/>
          <w:color w:val="000000"/>
        </w:rPr>
        <w:instrText xml:space="preserve"> NOTEREF _Ref115615040 \h  \* MERGEFORMAT </w:instrText>
      </w:r>
      <w:r w:rsidRPr="00036097">
        <w:rPr>
          <w:rFonts w:eastAsia="Century Schoolbook"/>
          <w:color w:val="000000"/>
        </w:rPr>
      </w:r>
      <w:r w:rsidRPr="00036097">
        <w:rPr>
          <w:rFonts w:eastAsia="Century Schoolbook"/>
          <w:color w:val="000000"/>
        </w:rPr>
        <w:fldChar w:fldCharType="separate"/>
      </w:r>
      <w:r>
        <w:rPr>
          <w:rFonts w:eastAsia="Century Schoolbook"/>
          <w:color w:val="000000"/>
        </w:rPr>
        <w:t>13</w:t>
      </w:r>
      <w:r w:rsidRPr="00036097">
        <w:rPr>
          <w:rFonts w:eastAsia="Century Schoolbook"/>
          <w:color w:val="000000"/>
        </w:rPr>
        <w:fldChar w:fldCharType="end"/>
      </w:r>
      <w:r w:rsidRPr="00036097">
        <w:rPr>
          <w:rFonts w:eastAsia="Century Schoolbook"/>
          <w:color w:val="000000"/>
        </w:rPr>
        <w:t>,</w:t>
      </w:r>
      <w:r w:rsidRPr="009F549F">
        <w:rPr>
          <w:rFonts w:eastAsia="Century Schoolbook"/>
          <w:color w:val="000000"/>
        </w:rPr>
        <w:t xml:space="preserve"> at 344 (“One issue for wealth taxation involves valuation: how will ownership stakes in private firms without market valuations be ascertained, for example? Wealth taxation is also complicated by the illiquidity of the assets held by the ultra</w:t>
      </w:r>
      <w:r w:rsidRPr="00036097">
        <w:rPr>
          <w:rFonts w:eastAsia="Century Schoolbook"/>
          <w:color w:val="000000"/>
        </w:rPr>
        <w:t>-</w:t>
      </w:r>
      <w:r w:rsidRPr="009F549F">
        <w:rPr>
          <w:rFonts w:eastAsia="Century Schoolbook"/>
          <w:color w:val="000000"/>
        </w:rPr>
        <w:t xml:space="preserve">wealthy.”); </w:t>
      </w:r>
      <w:r w:rsidRPr="009F549F">
        <w:rPr>
          <w:rFonts w:eastAsia="Century Schoolbook"/>
          <w:i/>
          <w:color w:val="000000"/>
        </w:rPr>
        <w:t>see also</w:t>
      </w:r>
      <w:r w:rsidRPr="009F549F">
        <w:rPr>
          <w:rFonts w:eastAsia="Century Schoolbook"/>
          <w:color w:val="000000"/>
        </w:rPr>
        <w:t xml:space="preserve"> </w:t>
      </w:r>
      <w:r w:rsidRPr="009F549F">
        <w:rPr>
          <w:rFonts w:eastAsia="Century Schoolbook"/>
          <w:smallCaps/>
          <w:color w:val="000000"/>
        </w:rPr>
        <w:t xml:space="preserve">Stephen Daly &amp; Glen </w:t>
      </w:r>
      <w:proofErr w:type="spellStart"/>
      <w:r w:rsidRPr="009F549F">
        <w:rPr>
          <w:rFonts w:eastAsia="Century Schoolbook"/>
          <w:smallCaps/>
          <w:color w:val="000000"/>
        </w:rPr>
        <w:t>Loutzenhiser</w:t>
      </w:r>
      <w:proofErr w:type="spellEnd"/>
      <w:r w:rsidRPr="009F549F">
        <w:rPr>
          <w:rFonts w:eastAsia="Century Schoolbook"/>
          <w:color w:val="000000"/>
        </w:rPr>
        <w:t xml:space="preserve">, </w:t>
      </w:r>
      <w:r w:rsidRPr="009F549F">
        <w:rPr>
          <w:rFonts w:eastAsia="Century Schoolbook"/>
          <w:smallCaps/>
          <w:color w:val="000000"/>
        </w:rPr>
        <w:t>Wealth Tax Commission</w:t>
      </w:r>
      <w:r w:rsidRPr="00036097">
        <w:rPr>
          <w:rFonts w:eastAsia="Century Schoolbook"/>
          <w:smallCaps/>
          <w:color w:val="000000"/>
        </w:rPr>
        <w:t>,</w:t>
      </w:r>
      <w:r w:rsidRPr="009F549F">
        <w:rPr>
          <w:rFonts w:eastAsia="Century Schoolbook"/>
          <w:i/>
          <w:smallCaps/>
          <w:color w:val="000000"/>
        </w:rPr>
        <w:t xml:space="preserve"> </w:t>
      </w:r>
      <w:r w:rsidRPr="009F549F">
        <w:rPr>
          <w:rFonts w:eastAsia="Century Schoolbook"/>
          <w:smallCaps/>
          <w:color w:val="000000"/>
        </w:rPr>
        <w:t>Valuation</w:t>
      </w:r>
      <w:r w:rsidRPr="00D6160C">
        <w:rPr>
          <w:rFonts w:eastAsia="Century Schoolbook"/>
          <w:smallCaps/>
          <w:color w:val="000000"/>
        </w:rPr>
        <w:t xml:space="preserve"> 1</w:t>
      </w:r>
      <w:r w:rsidRPr="00036097">
        <w:rPr>
          <w:rFonts w:eastAsia="Century Schoolbook"/>
          <w:color w:val="000000"/>
        </w:rPr>
        <w:t>,</w:t>
      </w:r>
      <w:r w:rsidRPr="009F549F">
        <w:rPr>
          <w:rFonts w:eastAsia="Century Schoolbook"/>
          <w:color w:val="000000"/>
        </w:rPr>
        <w:t xml:space="preserve"> 3 (2020), https://www.wealthandpolicy.com/wp/</w:t>
      </w:r>
      <w:r w:rsidRPr="00036097">
        <w:rPr>
          <w:rFonts w:eastAsia="Century Schoolbook"/>
          <w:color w:val="000000"/>
        </w:rPr>
        <w:t>EP9_Valuation.pdf [https://perma.cc/5SWR-Q643 ]</w:t>
      </w:r>
      <w:r w:rsidRPr="009F549F" w:rsidDel="00D85E89">
        <w:rPr>
          <w:rFonts w:eastAsia="Century Schoolbook"/>
          <w:color w:val="000000"/>
        </w:rPr>
        <w:t xml:space="preserve"> </w:t>
      </w:r>
      <w:r w:rsidRPr="009F549F">
        <w:rPr>
          <w:rFonts w:eastAsia="Century Schoolbook"/>
          <w:color w:val="000000"/>
        </w:rPr>
        <w:t>(“Valuation issues are frequently cited in the literature as the most problematic aspect of wealth taxes</w:t>
      </w:r>
      <w:r w:rsidRPr="00036097">
        <w:rPr>
          <w:rFonts w:eastAsia="Century Schoolbook"/>
          <w:color w:val="000000"/>
        </w:rPr>
        <w:t>.”).</w:t>
      </w:r>
    </w:p>
  </w:footnote>
  <w:footnote w:id="16">
    <w:p w14:paraId="1C9A6335" w14:textId="6FB9AFE2" w:rsidR="006E30B5" w:rsidRPr="009F549F" w:rsidRDefault="006E30B5">
      <w:pPr>
        <w:pBdr>
          <w:top w:val="nil"/>
          <w:left w:val="nil"/>
          <w:bottom w:val="nil"/>
          <w:right w:val="nil"/>
          <w:between w:val="nil"/>
        </w:pBdr>
        <w:rPr>
          <w:rFonts w:eastAsia="Century Schoolbook"/>
          <w:color w:val="000000"/>
        </w:rPr>
      </w:pPr>
      <w:r w:rsidRPr="009F549F">
        <w:rPr>
          <w:vertAlign w:val="superscript"/>
        </w:rPr>
        <w:footnoteRef/>
      </w:r>
      <w:r w:rsidRPr="009F549F">
        <w:rPr>
          <w:rFonts w:eastAsia="Century Schoolbook"/>
          <w:color w:val="000000"/>
        </w:rPr>
        <w:t xml:space="preserve"> Emmanuel </w:t>
      </w:r>
      <w:proofErr w:type="spellStart"/>
      <w:r w:rsidRPr="009F549F">
        <w:rPr>
          <w:rFonts w:eastAsia="Century Schoolbook"/>
          <w:color w:val="000000"/>
        </w:rPr>
        <w:t>Saez</w:t>
      </w:r>
      <w:proofErr w:type="spellEnd"/>
      <w:r w:rsidRPr="009F549F">
        <w:rPr>
          <w:rFonts w:eastAsia="Century Schoolbook"/>
          <w:color w:val="000000"/>
        </w:rPr>
        <w:t xml:space="preserve"> &amp; Gabriel Zucman, </w:t>
      </w:r>
      <w:r w:rsidRPr="009F549F">
        <w:rPr>
          <w:rFonts w:eastAsia="Century Schoolbook"/>
          <w:i/>
          <w:color w:val="000000"/>
        </w:rPr>
        <w:t xml:space="preserve">Response to Summers and Sarin, A </w:t>
      </w:r>
      <w:r w:rsidRPr="00036097">
        <w:rPr>
          <w:rFonts w:eastAsia="Century Schoolbook"/>
          <w:i/>
          <w:color w:val="000000"/>
        </w:rPr>
        <w:t>Wealth Tax Presents</w:t>
      </w:r>
      <w:r w:rsidRPr="009F549F">
        <w:rPr>
          <w:rFonts w:eastAsia="Century Schoolbook"/>
          <w:i/>
          <w:color w:val="000000"/>
        </w:rPr>
        <w:t xml:space="preserve"> a </w:t>
      </w:r>
      <w:r w:rsidRPr="00036097">
        <w:rPr>
          <w:rFonts w:eastAsia="Century Schoolbook"/>
          <w:i/>
          <w:color w:val="000000"/>
        </w:rPr>
        <w:t xml:space="preserve">Revenue Estimation Puzzle </w:t>
      </w:r>
      <w:r w:rsidRPr="00036097">
        <w:rPr>
          <w:rFonts w:eastAsia="Century Schoolbook"/>
          <w:iCs/>
          <w:color w:val="000000"/>
        </w:rPr>
        <w:t>3 n.1 (June 25</w:t>
      </w:r>
      <w:r w:rsidRPr="009F549F">
        <w:rPr>
          <w:rFonts w:eastAsia="Century Schoolbook"/>
          <w:color w:val="000000"/>
        </w:rPr>
        <w:t>, 2019</w:t>
      </w:r>
      <w:r w:rsidRPr="00036097">
        <w:rPr>
          <w:rFonts w:eastAsia="Century Schoolbook"/>
          <w:iCs/>
          <w:color w:val="000000"/>
        </w:rPr>
        <w:t>),</w:t>
      </w:r>
      <w:r w:rsidRPr="00036097">
        <w:rPr>
          <w:rFonts w:eastAsia="Century Schoolbook"/>
          <w:color w:val="000000"/>
        </w:rPr>
        <w:t xml:space="preserve"> </w:t>
      </w:r>
      <w:r w:rsidRPr="00F9730F" w:rsidDel="00E9628F">
        <w:rPr>
          <w:rFonts w:eastAsia="Century Schoolbook"/>
          <w:color w:val="000000"/>
        </w:rPr>
        <w:t>https://gabriel-zucman.eu/files/saez-zucman-responseto-summers-sarin.pdf</w:t>
      </w:r>
      <w:r w:rsidRPr="00036097" w:rsidDel="00E9628F">
        <w:rPr>
          <w:rFonts w:eastAsia="Century Schoolbook"/>
          <w:color w:val="000000"/>
        </w:rPr>
        <w:t xml:space="preserve"> [https://perma.cc/UCH3-LF73]</w:t>
      </w:r>
      <w:r w:rsidRPr="009F549F" w:rsidDel="00E9628F">
        <w:rPr>
          <w:rFonts w:eastAsia="Century Schoolbook"/>
          <w:color w:val="000000"/>
        </w:rPr>
        <w:t xml:space="preserve"> </w:t>
      </w:r>
      <w:r w:rsidRPr="009F549F">
        <w:rPr>
          <w:rFonts w:eastAsia="Century Schoolbook"/>
          <w:color w:val="000000"/>
        </w:rPr>
        <w:t>(estimating that “21.5% of top 0.1% wealth was invested in assets with no directly observable market value”).</w:t>
      </w:r>
    </w:p>
  </w:footnote>
  <w:footnote w:id="17">
    <w:p w14:paraId="69DCA132" w14:textId="4EB4BECE" w:rsidR="006E30B5" w:rsidRPr="009F549F" w:rsidRDefault="006E30B5">
      <w:pPr>
        <w:pBdr>
          <w:top w:val="nil"/>
          <w:left w:val="nil"/>
          <w:bottom w:val="nil"/>
          <w:right w:val="nil"/>
          <w:between w:val="nil"/>
        </w:pBdr>
        <w:rPr>
          <w:rFonts w:eastAsia="Century Schoolbook"/>
          <w:color w:val="000000"/>
        </w:rPr>
      </w:pPr>
      <w:r w:rsidRPr="009F549F">
        <w:rPr>
          <w:vertAlign w:val="superscript"/>
        </w:rPr>
        <w:footnoteRef/>
      </w:r>
      <w:r w:rsidRPr="009F549F">
        <w:rPr>
          <w:rFonts w:eastAsia="Century Schoolbook"/>
          <w:color w:val="000000"/>
        </w:rPr>
        <w:t xml:space="preserve"> Leandra Lederman, </w:t>
      </w:r>
      <w:r w:rsidRPr="009F549F">
        <w:rPr>
          <w:rFonts w:eastAsia="Century Schoolbook"/>
          <w:i/>
          <w:color w:val="000000"/>
        </w:rPr>
        <w:t>Valuation as a Challenge for Tax Administration</w:t>
      </w:r>
      <w:r w:rsidRPr="009F549F">
        <w:rPr>
          <w:rFonts w:eastAsia="Century Schoolbook"/>
          <w:color w:val="000000"/>
        </w:rPr>
        <w:t xml:space="preserve">, 96 </w:t>
      </w:r>
      <w:r w:rsidRPr="009F549F">
        <w:rPr>
          <w:rFonts w:eastAsia="Century Schoolbook"/>
          <w:smallCaps/>
          <w:color w:val="000000"/>
        </w:rPr>
        <w:t>Notre Dame L. Rev</w:t>
      </w:r>
      <w:r w:rsidRPr="009F549F">
        <w:rPr>
          <w:rFonts w:eastAsia="Century Schoolbook"/>
          <w:color w:val="000000"/>
        </w:rPr>
        <w:t xml:space="preserve">. </w:t>
      </w:r>
      <w:r w:rsidRPr="009F549F">
        <w:rPr>
          <w:rFonts w:eastAsia="Century Schoolbook"/>
          <w:color w:val="000000"/>
        </w:rPr>
        <w:t xml:space="preserve">1495, </w:t>
      </w:r>
      <w:r w:rsidRPr="00036097">
        <w:rPr>
          <w:rFonts w:eastAsia="Century Schoolbook"/>
          <w:color w:val="000000"/>
        </w:rPr>
        <w:t>1498</w:t>
      </w:r>
      <w:r w:rsidRPr="009F549F">
        <w:rPr>
          <w:rFonts w:eastAsia="Century Schoolbook"/>
          <w:color w:val="000000"/>
        </w:rPr>
        <w:t xml:space="preserve"> (2021</w:t>
      </w:r>
      <w:r w:rsidRPr="00036097">
        <w:rPr>
          <w:rFonts w:eastAsia="Century Schoolbook"/>
          <w:color w:val="000000"/>
        </w:rPr>
        <w:t>) (noting the difficulty in “finding an approach or formula that fairly values private assets, or assets of a particular type”).</w:t>
      </w:r>
    </w:p>
  </w:footnote>
  <w:footnote w:id="18">
    <w:p w14:paraId="3728B2BD" w14:textId="77777777" w:rsidR="006E30B5" w:rsidRPr="00C43C1B" w:rsidRDefault="006E30B5" w:rsidP="00040F44">
      <w:pPr>
        <w:pBdr>
          <w:top w:val="nil"/>
          <w:left w:val="nil"/>
          <w:bottom w:val="nil"/>
          <w:right w:val="nil"/>
          <w:between w:val="nil"/>
        </w:pBdr>
        <w:rPr>
          <w:rFonts w:eastAsia="Century Schoolbook"/>
          <w:b/>
          <w:color w:val="000000"/>
        </w:rPr>
      </w:pPr>
      <w:r w:rsidRPr="00C43C1B">
        <w:rPr>
          <w:vertAlign w:val="superscript"/>
        </w:rPr>
        <w:footnoteRef/>
      </w:r>
      <w:r w:rsidRPr="00C43C1B">
        <w:rPr>
          <w:rFonts w:eastAsia="Century Schoolbook"/>
          <w:color w:val="000000"/>
        </w:rPr>
        <w:t xml:space="preserve"> </w:t>
      </w:r>
      <w:r w:rsidRPr="00C43C1B">
        <w:rPr>
          <w:rFonts w:eastAsia="Century Schoolbook"/>
          <w:i/>
          <w:color w:val="000000"/>
        </w:rPr>
        <w:t>See, e.g</w:t>
      </w:r>
      <w:r w:rsidRPr="00C43C1B">
        <w:rPr>
          <w:rFonts w:eastAsia="Century Schoolbook"/>
          <w:color w:val="000000"/>
        </w:rPr>
        <w:t>., Thomas W. Bates</w:t>
      </w:r>
      <w:r w:rsidRPr="00036097">
        <w:rPr>
          <w:rFonts w:eastAsia="Century Schoolbook"/>
          <w:color w:val="000000"/>
        </w:rPr>
        <w:t xml:space="preserve">, Jordan B. </w:t>
      </w:r>
      <w:proofErr w:type="spellStart"/>
      <w:r w:rsidRPr="00036097">
        <w:rPr>
          <w:rFonts w:eastAsia="Century Schoolbook"/>
          <w:color w:val="000000"/>
        </w:rPr>
        <w:t>Neyland</w:t>
      </w:r>
      <w:proofErr w:type="spellEnd"/>
      <w:r w:rsidRPr="00036097">
        <w:rPr>
          <w:rFonts w:eastAsia="Century Schoolbook"/>
          <w:color w:val="000000"/>
        </w:rPr>
        <w:t xml:space="preserve"> &amp; Yolanda Yulong Wang</w:t>
      </w:r>
      <w:r w:rsidRPr="00C43C1B">
        <w:rPr>
          <w:rFonts w:eastAsia="Century Schoolbook"/>
          <w:color w:val="000000"/>
        </w:rPr>
        <w:t xml:space="preserve">, </w:t>
      </w:r>
      <w:r w:rsidRPr="00C43C1B">
        <w:rPr>
          <w:rFonts w:eastAsia="Century Schoolbook"/>
          <w:i/>
          <w:color w:val="000000"/>
        </w:rPr>
        <w:t xml:space="preserve">Financing </w:t>
      </w:r>
      <w:r w:rsidRPr="00036097">
        <w:rPr>
          <w:rFonts w:eastAsia="Century Schoolbook"/>
          <w:i/>
          <w:color w:val="000000"/>
        </w:rPr>
        <w:t>Acquisitions</w:t>
      </w:r>
      <w:r w:rsidRPr="00C43C1B">
        <w:rPr>
          <w:rFonts w:eastAsia="Century Schoolbook"/>
          <w:i/>
          <w:color w:val="000000"/>
        </w:rPr>
        <w:t xml:space="preserve"> with </w:t>
      </w:r>
      <w:r w:rsidRPr="00036097">
        <w:rPr>
          <w:rFonts w:eastAsia="Century Schoolbook"/>
          <w:i/>
          <w:color w:val="000000"/>
        </w:rPr>
        <w:t>Earnouts</w:t>
      </w:r>
      <w:r w:rsidRPr="00C43C1B">
        <w:rPr>
          <w:rFonts w:eastAsia="Century Schoolbook"/>
          <w:color w:val="000000"/>
        </w:rPr>
        <w:t xml:space="preserve">, 66 J. </w:t>
      </w:r>
      <w:r w:rsidRPr="00C43C1B">
        <w:rPr>
          <w:rFonts w:eastAsia="Century Schoolbook"/>
          <w:smallCaps/>
          <w:color w:val="000000"/>
        </w:rPr>
        <w:t xml:space="preserve">Acct. &amp; Econ. </w:t>
      </w:r>
      <w:r w:rsidRPr="00C43C1B">
        <w:rPr>
          <w:rFonts w:eastAsia="Century Schoolbook"/>
          <w:color w:val="000000"/>
        </w:rPr>
        <w:t>374, 377 (2018) (finding over 14</w:t>
      </w:r>
      <w:r w:rsidRPr="00036097">
        <w:rPr>
          <w:rFonts w:eastAsia="Century Schoolbook"/>
          <w:color w:val="000000"/>
        </w:rPr>
        <w:t xml:space="preserve"> percent of</w:t>
      </w:r>
      <w:r w:rsidRPr="00C43C1B">
        <w:rPr>
          <w:rFonts w:eastAsia="Century Schoolbook"/>
          <w:color w:val="000000"/>
        </w:rPr>
        <w:t xml:space="preserve"> transactions involving private firms used an earnout out of sample of over 22,000 transactions over 26 years); Christopher R. Stewart, </w:t>
      </w:r>
      <w:r w:rsidRPr="00C43C1B">
        <w:rPr>
          <w:rFonts w:eastAsia="Century Schoolbook"/>
          <w:i/>
          <w:color w:val="000000"/>
        </w:rPr>
        <w:t xml:space="preserve">Appraisal </w:t>
      </w:r>
      <w:r w:rsidRPr="00036097">
        <w:rPr>
          <w:rFonts w:eastAsia="Century Schoolbook"/>
          <w:i/>
          <w:color w:val="000000"/>
        </w:rPr>
        <w:t>Rights</w:t>
      </w:r>
      <w:r w:rsidRPr="00C43C1B">
        <w:rPr>
          <w:rFonts w:eastAsia="Century Schoolbook"/>
          <w:i/>
          <w:color w:val="000000"/>
        </w:rPr>
        <w:t xml:space="preserve"> and </w:t>
      </w:r>
      <w:r w:rsidRPr="00036097">
        <w:rPr>
          <w:rFonts w:eastAsia="Century Schoolbook"/>
          <w:i/>
          <w:color w:val="000000"/>
        </w:rPr>
        <w:t>Corporate Disclosure During Mergers</w:t>
      </w:r>
      <w:r w:rsidRPr="00C43C1B">
        <w:rPr>
          <w:rFonts w:eastAsia="Century Schoolbook"/>
          <w:i/>
          <w:color w:val="000000"/>
        </w:rPr>
        <w:t xml:space="preserve"> and </w:t>
      </w:r>
      <w:r w:rsidRPr="00036097">
        <w:rPr>
          <w:rFonts w:eastAsia="Century Schoolbook"/>
          <w:i/>
          <w:color w:val="000000"/>
        </w:rPr>
        <w:t>Acquisitions</w:t>
      </w:r>
      <w:r w:rsidRPr="00036097">
        <w:rPr>
          <w:rFonts w:eastAsia="Century Schoolbook"/>
          <w:color w:val="000000"/>
        </w:rPr>
        <w:t xml:space="preserve"> (July 27, 2022</w:t>
      </w:r>
      <w:r w:rsidRPr="00C43C1B">
        <w:rPr>
          <w:rFonts w:eastAsia="Century Schoolbook"/>
          <w:color w:val="000000"/>
        </w:rPr>
        <w:t>), https://</w:t>
      </w:r>
      <w:r w:rsidRPr="007D6E99">
        <w:rPr>
          <w:rFonts w:ascii="Century Schoolbook" w:eastAsia="Century Schoolbook" w:hAnsi="Century Schoolbook" w:cs="Century Schoolbook"/>
          <w:color w:val="000000"/>
          <w:sz w:val="20"/>
          <w:szCs w:val="20"/>
        </w:rPr>
        <w:t>papers.</w:t>
      </w:r>
      <w:r w:rsidRPr="00C43C1B">
        <w:rPr>
          <w:rFonts w:eastAsia="Century Schoolbook"/>
          <w:color w:val="000000"/>
        </w:rPr>
        <w:t xml:space="preserve">ssrn.com/sol3/abstract_id=3799216 </w:t>
      </w:r>
      <w:r w:rsidRPr="00036097">
        <w:rPr>
          <w:rFonts w:eastAsia="Century Schoolbook"/>
          <w:color w:val="000000"/>
        </w:rPr>
        <w:t>[https://perma.cc/Q4E3-MWT6] (“</w:t>
      </w:r>
      <w:r w:rsidRPr="00036097" w:rsidDel="001F1648">
        <w:rPr>
          <w:rFonts w:eastAsia="Century Schoolbook"/>
          <w:color w:val="000000"/>
        </w:rPr>
        <w:t>Over the entire sample period, 82 large</w:t>
      </w:r>
      <w:r w:rsidRPr="00C43C1B" w:rsidDel="001F1648">
        <w:rPr>
          <w:rFonts w:eastAsia="Century Schoolbook"/>
          <w:color w:val="000000"/>
        </w:rPr>
        <w:t xml:space="preserve"> Delaware mergers faced at least one appraisal lawsuit</w:t>
      </w:r>
      <w:r w:rsidRPr="007D6E99">
        <w:rPr>
          <w:rFonts w:ascii="Century Schoolbook" w:eastAsia="Century Schoolbook" w:hAnsi="Century Schoolbook" w:cs="Century Schoolbook"/>
          <w:color w:val="000000"/>
          <w:sz w:val="20"/>
          <w:szCs w:val="20"/>
        </w:rPr>
        <w:t xml:space="preserve"> in recent years.”)</w:t>
      </w:r>
      <w:r>
        <w:rPr>
          <w:rFonts w:ascii="Century Schoolbook" w:eastAsia="Century Schoolbook" w:hAnsi="Century Schoolbook" w:cs="Century Schoolbook"/>
          <w:color w:val="000000"/>
          <w:sz w:val="20"/>
          <w:szCs w:val="20"/>
        </w:rPr>
        <w:t>.</w:t>
      </w:r>
      <w:r w:rsidRPr="00036097" w:rsidDel="001F1648">
        <w:rPr>
          <w:rFonts w:eastAsia="Century Schoolbook"/>
          <w:color w:val="000000"/>
        </w:rPr>
        <w:t>, with the average merger facing 1.65</w:t>
      </w:r>
      <w:r w:rsidRPr="00036097">
        <w:rPr>
          <w:rFonts w:eastAsia="Century Schoolbook"/>
          <w:color w:val="000000"/>
        </w:rPr>
        <w:t>.”).</w:t>
      </w:r>
      <w:r w:rsidRPr="00C43C1B" w:rsidDel="001F1648">
        <w:rPr>
          <w:rFonts w:eastAsia="Century Schoolbook"/>
          <w:color w:val="000000"/>
        </w:rPr>
        <w:t xml:space="preserve"> </w:t>
      </w:r>
      <w:r w:rsidRPr="00C43C1B">
        <w:rPr>
          <w:rFonts w:eastAsia="Century Schoolbook"/>
          <w:color w:val="000000"/>
        </w:rPr>
        <w:t>That there is often dispute about valuations does not undermine our point. To the contrary, it indicates that despite the difficult judgment calls involved</w:t>
      </w:r>
      <w:r w:rsidRPr="00036097">
        <w:rPr>
          <w:rFonts w:eastAsia="Century Schoolbook"/>
          <w:color w:val="000000"/>
        </w:rPr>
        <w:t>—</w:t>
      </w:r>
      <w:r w:rsidRPr="00C43C1B">
        <w:rPr>
          <w:rFonts w:eastAsia="Century Schoolbook"/>
          <w:color w:val="000000"/>
        </w:rPr>
        <w:t>and the risks</w:t>
      </w:r>
      <w:r w:rsidRPr="00036097">
        <w:rPr>
          <w:rFonts w:eastAsia="Century Schoolbook"/>
          <w:color w:val="000000"/>
        </w:rPr>
        <w:t>—</w:t>
      </w:r>
      <w:r w:rsidRPr="00C43C1B">
        <w:rPr>
          <w:rFonts w:eastAsia="Century Schoolbook"/>
          <w:color w:val="000000"/>
        </w:rPr>
        <w:t>private parties, in dialogue with the law, have figured out how to at least muddle through</w:t>
      </w:r>
      <w:r>
        <w:rPr>
          <w:rFonts w:ascii="Century Schoolbook" w:eastAsia="Century Schoolbook" w:hAnsi="Century Schoolbook" w:cs="Century Schoolbook"/>
          <w:color w:val="000000"/>
          <w:sz w:val="20"/>
          <w:szCs w:val="20"/>
        </w:rPr>
        <w:t xml:space="preserve">. </w:t>
      </w:r>
      <w:r w:rsidRPr="00C43C1B">
        <w:rPr>
          <w:rFonts w:eastAsia="Century Schoolbook"/>
          <w:i/>
          <w:color w:val="000000"/>
        </w:rPr>
        <w:t>See generally</w:t>
      </w:r>
      <w:r w:rsidRPr="00C43C1B">
        <w:rPr>
          <w:rFonts w:eastAsia="Century Schoolbook"/>
          <w:color w:val="000000"/>
        </w:rPr>
        <w:t xml:space="preserve"> Jerald E. Pinto</w:t>
      </w:r>
      <w:r w:rsidRPr="00036097">
        <w:rPr>
          <w:rFonts w:eastAsia="Century Schoolbook"/>
          <w:color w:val="000000"/>
        </w:rPr>
        <w:t>, Thomas R. Robinson &amp; John D. Stowe,</w:t>
      </w:r>
      <w:r w:rsidRPr="00C43C1B">
        <w:rPr>
          <w:rFonts w:eastAsia="Century Schoolbook"/>
          <w:color w:val="000000"/>
        </w:rPr>
        <w:t xml:space="preserve"> </w:t>
      </w:r>
      <w:r w:rsidRPr="00C43C1B">
        <w:rPr>
          <w:rFonts w:eastAsia="Century Schoolbook"/>
          <w:i/>
          <w:color w:val="000000"/>
        </w:rPr>
        <w:t xml:space="preserve">Equity </w:t>
      </w:r>
      <w:r w:rsidRPr="00036097">
        <w:rPr>
          <w:rFonts w:eastAsia="Century Schoolbook"/>
          <w:i/>
          <w:color w:val="000000"/>
        </w:rPr>
        <w:t>Valuation</w:t>
      </w:r>
      <w:r w:rsidRPr="00C43C1B">
        <w:rPr>
          <w:rFonts w:eastAsia="Century Schoolbook"/>
          <w:i/>
          <w:color w:val="000000"/>
        </w:rPr>
        <w:t xml:space="preserve">: A </w:t>
      </w:r>
      <w:r w:rsidRPr="00036097">
        <w:rPr>
          <w:rFonts w:eastAsia="Century Schoolbook"/>
          <w:i/>
          <w:color w:val="000000"/>
        </w:rPr>
        <w:t>Survey</w:t>
      </w:r>
      <w:r w:rsidRPr="00C43C1B">
        <w:rPr>
          <w:rFonts w:eastAsia="Century Schoolbook"/>
          <w:i/>
          <w:color w:val="000000"/>
        </w:rPr>
        <w:t xml:space="preserve"> of </w:t>
      </w:r>
      <w:r w:rsidRPr="00036097">
        <w:rPr>
          <w:rFonts w:eastAsia="Century Schoolbook"/>
          <w:i/>
          <w:color w:val="000000"/>
        </w:rPr>
        <w:t>Professional Practice</w:t>
      </w:r>
      <w:r w:rsidRPr="00C43C1B">
        <w:rPr>
          <w:rFonts w:eastAsia="Century Schoolbook"/>
          <w:color w:val="000000"/>
        </w:rPr>
        <w:t xml:space="preserve">, 37 </w:t>
      </w:r>
      <w:r w:rsidRPr="00C43C1B">
        <w:rPr>
          <w:rFonts w:eastAsia="Century Schoolbook"/>
          <w:smallCaps/>
          <w:color w:val="000000"/>
        </w:rPr>
        <w:t>Rev. Fin. Econ</w:t>
      </w:r>
      <w:r w:rsidRPr="00C43C1B">
        <w:rPr>
          <w:rFonts w:eastAsia="Century Schoolbook"/>
          <w:color w:val="000000"/>
        </w:rPr>
        <w:t>. 219 (2019</w:t>
      </w:r>
      <w:r w:rsidRPr="00036097">
        <w:rPr>
          <w:rFonts w:eastAsia="Century Schoolbook"/>
          <w:color w:val="000000"/>
        </w:rPr>
        <w:t>) (presenting a survey of approaches used for equity valuations</w:t>
      </w:r>
      <w:r w:rsidRPr="00C43C1B">
        <w:rPr>
          <w:rFonts w:eastAsia="Century Schoolbook"/>
          <w:color w:val="000000"/>
        </w:rPr>
        <w:t>).</w:t>
      </w:r>
    </w:p>
  </w:footnote>
  <w:footnote w:id="19">
    <w:p w14:paraId="5020FD2A" w14:textId="27F51DD6" w:rsidR="006E30B5" w:rsidRPr="009F549F" w:rsidRDefault="006E30B5">
      <w:pPr>
        <w:pBdr>
          <w:top w:val="nil"/>
          <w:left w:val="nil"/>
          <w:bottom w:val="nil"/>
          <w:right w:val="nil"/>
          <w:between w:val="nil"/>
        </w:pBdr>
        <w:rPr>
          <w:rFonts w:eastAsia="Century Schoolbook"/>
          <w:color w:val="000000"/>
        </w:rPr>
      </w:pPr>
      <w:r w:rsidRPr="009F549F">
        <w:rPr>
          <w:vertAlign w:val="superscript"/>
        </w:rPr>
        <w:footnoteRef/>
      </w:r>
      <w:r w:rsidRPr="009F549F">
        <w:rPr>
          <w:rFonts w:eastAsia="Century Schoolbook"/>
          <w:color w:val="000000"/>
        </w:rPr>
        <w:t xml:space="preserve"> </w:t>
      </w:r>
      <w:r w:rsidRPr="009F549F">
        <w:rPr>
          <w:rFonts w:eastAsia="Century Schoolbook"/>
          <w:i/>
          <w:color w:val="000000"/>
        </w:rPr>
        <w:t>See</w:t>
      </w:r>
      <w:r w:rsidRPr="009F549F">
        <w:rPr>
          <w:rFonts w:eastAsia="Century Schoolbook"/>
          <w:color w:val="000000"/>
        </w:rPr>
        <w:t xml:space="preserve"> Jessie </w:t>
      </w:r>
      <w:proofErr w:type="spellStart"/>
      <w:r w:rsidRPr="009F549F">
        <w:rPr>
          <w:rFonts w:eastAsia="Century Schoolbook"/>
          <w:color w:val="000000"/>
        </w:rPr>
        <w:t>Eisinger</w:t>
      </w:r>
      <w:proofErr w:type="spellEnd"/>
      <w:r w:rsidRPr="009F549F">
        <w:rPr>
          <w:rFonts w:eastAsia="Century Schoolbook"/>
          <w:color w:val="000000"/>
        </w:rPr>
        <w:t xml:space="preserve">, Jeff </w:t>
      </w:r>
      <w:proofErr w:type="spellStart"/>
      <w:r w:rsidRPr="009F549F">
        <w:rPr>
          <w:rFonts w:eastAsia="Century Schoolbook"/>
          <w:color w:val="000000"/>
        </w:rPr>
        <w:t>Ernsthausen</w:t>
      </w:r>
      <w:proofErr w:type="spellEnd"/>
      <w:r w:rsidRPr="007D6E99">
        <w:rPr>
          <w:rFonts w:ascii="Century Schoolbook" w:eastAsia="Century Schoolbook" w:hAnsi="Century Schoolbook" w:cs="Century Schoolbook"/>
          <w:color w:val="000000"/>
          <w:sz w:val="20"/>
          <w:szCs w:val="20"/>
        </w:rPr>
        <w:t>,</w:t>
      </w:r>
      <w:r w:rsidRPr="009F549F">
        <w:rPr>
          <w:rFonts w:eastAsia="Century Schoolbook"/>
          <w:color w:val="000000"/>
        </w:rPr>
        <w:t xml:space="preserve"> &amp; Paul Kiel, </w:t>
      </w:r>
      <w:r w:rsidRPr="009F549F">
        <w:rPr>
          <w:rFonts w:eastAsia="Century Schoolbook"/>
          <w:i/>
          <w:color w:val="000000"/>
        </w:rPr>
        <w:t>The Secret IRS Files: Troves of Never-Before-Seen Records Reveal How the Wealthiest Avoid Income Tax</w:t>
      </w:r>
      <w:r w:rsidRPr="009F549F">
        <w:rPr>
          <w:rFonts w:eastAsia="Century Schoolbook"/>
          <w:color w:val="000000"/>
        </w:rPr>
        <w:t xml:space="preserve">, </w:t>
      </w:r>
      <w:r w:rsidRPr="009F549F">
        <w:rPr>
          <w:rFonts w:eastAsia="Century Schoolbook"/>
          <w:smallCaps/>
          <w:color w:val="000000"/>
        </w:rPr>
        <w:t>Pro Publica</w:t>
      </w:r>
      <w:r w:rsidRPr="00036097">
        <w:rPr>
          <w:rFonts w:eastAsia="Century Schoolbook"/>
          <w:color w:val="000000"/>
        </w:rPr>
        <w:t xml:space="preserve"> (</w:t>
      </w:r>
      <w:r w:rsidRPr="009F549F">
        <w:rPr>
          <w:rFonts w:eastAsia="Century Schoolbook"/>
          <w:color w:val="000000"/>
        </w:rPr>
        <w:t>June 8, 2021</w:t>
      </w:r>
      <w:r w:rsidRPr="00036097">
        <w:rPr>
          <w:rFonts w:eastAsia="Century Schoolbook"/>
          <w:color w:val="000000"/>
        </w:rPr>
        <w:t xml:space="preserve">), </w:t>
      </w:r>
      <w:r w:rsidRPr="00763C46">
        <w:rPr>
          <w:rFonts w:eastAsia="Century Schoolbook"/>
        </w:rPr>
        <w:t xml:space="preserve">https://www.propublica.org/article/the-secret-irs-files-trove-of-never-before-seen-records-reveal-how-the-wealthiest-avoid-income-tax </w:t>
      </w:r>
      <w:r w:rsidRPr="00036097">
        <w:rPr>
          <w:rFonts w:eastAsia="Century Schoolbook"/>
          <w:color w:val="000000"/>
        </w:rPr>
        <w:t>[https://perma.cc/RYE5-4UJJ]</w:t>
      </w:r>
      <w:r w:rsidRPr="009F549F">
        <w:rPr>
          <w:rFonts w:eastAsia="Century Schoolbook"/>
          <w:color w:val="000000"/>
        </w:rPr>
        <w:t xml:space="preserve"> (reporting, e.g., that Jeff Bezos paid an effective tax rate of only 1.1% on his true income across 2006 through 2018 and that he paid zero income tax in some of those years and “he even claimed and received a $4,000 tax credit for his children” in 2011 because he “filed a tax return reporting he lost money”,</w:t>
      </w:r>
      <w:r w:rsidRPr="00200200">
        <w:rPr>
          <w:rFonts w:eastAsia="Century Schoolbook"/>
          <w:color w:val="000000"/>
        </w:rPr>
        <w:t xml:space="preserve"> </w:t>
      </w:r>
      <w:r w:rsidRPr="009F549F">
        <w:rPr>
          <w:rFonts w:eastAsia="Century Schoolbook"/>
          <w:color w:val="000000"/>
        </w:rPr>
        <w:t>and also that in “both 2016 and 2017, investor Carl Icahn, who ranks as the 40th-wealthiest American on the Forbes list, paid no federal income taxes”).</w:t>
      </w:r>
    </w:p>
  </w:footnote>
  <w:footnote w:id="20">
    <w:p w14:paraId="1C9D13B8" w14:textId="053BE575" w:rsidR="006E30B5" w:rsidRPr="009F549F" w:rsidRDefault="006E30B5">
      <w:pPr>
        <w:pBdr>
          <w:top w:val="nil"/>
          <w:left w:val="nil"/>
          <w:bottom w:val="nil"/>
          <w:right w:val="nil"/>
          <w:between w:val="nil"/>
        </w:pBdr>
        <w:rPr>
          <w:rFonts w:eastAsia="Century Schoolbook"/>
          <w:color w:val="000000"/>
        </w:rPr>
      </w:pPr>
      <w:r w:rsidRPr="009F549F">
        <w:rPr>
          <w:vertAlign w:val="superscript"/>
        </w:rPr>
        <w:footnoteRef/>
      </w:r>
      <w:r w:rsidRPr="009F549F">
        <w:rPr>
          <w:rFonts w:eastAsia="Century Schoolbook"/>
          <w:color w:val="000000"/>
        </w:rPr>
        <w:t xml:space="preserve"> </w:t>
      </w:r>
      <w:r w:rsidRPr="00036097">
        <w:rPr>
          <w:rFonts w:eastAsia="Century Schoolbook"/>
          <w:i/>
          <w:iCs/>
          <w:color w:val="000000"/>
        </w:rPr>
        <w:t>Creating Opportunity Through a Fairer Tax System</w:t>
      </w:r>
      <w:r w:rsidRPr="00036097">
        <w:rPr>
          <w:rFonts w:eastAsia="Century Schoolbook"/>
          <w:color w:val="000000"/>
        </w:rPr>
        <w:t>:</w:t>
      </w:r>
      <w:r w:rsidRPr="009F549F">
        <w:rPr>
          <w:rFonts w:eastAsia="Century Schoolbook"/>
          <w:color w:val="000000"/>
        </w:rPr>
        <w:t xml:space="preserve"> </w:t>
      </w:r>
      <w:r w:rsidRPr="009F549F">
        <w:rPr>
          <w:rFonts w:eastAsia="Century Schoolbook"/>
          <w:i/>
          <w:color w:val="000000"/>
        </w:rPr>
        <w:t xml:space="preserve">Before the </w:t>
      </w:r>
      <w:r w:rsidRPr="00036097">
        <w:rPr>
          <w:rFonts w:eastAsia="Century Schoolbook"/>
          <w:i/>
          <w:iCs/>
          <w:color w:val="000000"/>
        </w:rPr>
        <w:t>S.</w:t>
      </w:r>
      <w:r w:rsidRPr="009F549F">
        <w:rPr>
          <w:rFonts w:eastAsia="Century Schoolbook"/>
          <w:i/>
          <w:color w:val="000000"/>
        </w:rPr>
        <w:t xml:space="preserve"> Finance </w:t>
      </w:r>
      <w:proofErr w:type="spellStart"/>
      <w:r w:rsidRPr="00036097">
        <w:rPr>
          <w:rFonts w:eastAsia="Century Schoolbook"/>
          <w:i/>
          <w:iCs/>
          <w:color w:val="000000"/>
        </w:rPr>
        <w:t>Subcomm</w:t>
      </w:r>
      <w:proofErr w:type="spellEnd"/>
      <w:r w:rsidRPr="00036097">
        <w:rPr>
          <w:rFonts w:eastAsia="Century Schoolbook"/>
          <w:i/>
          <w:iCs/>
          <w:color w:val="000000"/>
        </w:rPr>
        <w:t>.</w:t>
      </w:r>
      <w:r w:rsidRPr="009F549F">
        <w:rPr>
          <w:rFonts w:eastAsia="Century Schoolbook"/>
          <w:i/>
          <w:color w:val="000000"/>
        </w:rPr>
        <w:t xml:space="preserve"> on Fiscal Responsibility and Economic Growth</w:t>
      </w:r>
      <w:r w:rsidRPr="00036097">
        <w:rPr>
          <w:rFonts w:eastAsia="Century Schoolbook"/>
          <w:color w:val="000000"/>
        </w:rPr>
        <w:t xml:space="preserve">, 117th Cong. at </w:t>
      </w:r>
      <w:r w:rsidRPr="009F549F">
        <w:rPr>
          <w:rFonts w:eastAsia="Century Schoolbook"/>
          <w:color w:val="000000"/>
        </w:rPr>
        <w:t>9</w:t>
      </w:r>
      <w:r w:rsidRPr="00036097">
        <w:rPr>
          <w:rFonts w:eastAsia="Century Schoolbook"/>
          <w:color w:val="000000"/>
        </w:rPr>
        <w:t xml:space="preserve"> (</w:t>
      </w:r>
      <w:r w:rsidRPr="009F549F">
        <w:rPr>
          <w:rFonts w:eastAsia="Century Schoolbook"/>
          <w:color w:val="000000"/>
        </w:rPr>
        <w:t>Apr. 27, 2021</w:t>
      </w:r>
      <w:r w:rsidRPr="00036097">
        <w:rPr>
          <w:rFonts w:eastAsia="Century Schoolbook"/>
          <w:color w:val="000000"/>
        </w:rPr>
        <w:t>) (statement of Jeffrey L. Hoopes, Associate Professor, Kenan Flagler Business School, University of North Carolina at Chapel Hill);</w:t>
      </w:r>
      <w:r w:rsidRPr="009F549F">
        <w:rPr>
          <w:rFonts w:eastAsia="Century Schoolbook"/>
          <w:color w:val="000000"/>
        </w:rPr>
        <w:t xml:space="preserve"> Robin </w:t>
      </w:r>
      <w:proofErr w:type="spellStart"/>
      <w:r w:rsidRPr="009F549F">
        <w:rPr>
          <w:rFonts w:eastAsia="Century Schoolbook"/>
          <w:color w:val="000000"/>
        </w:rPr>
        <w:t>Boadway</w:t>
      </w:r>
      <w:proofErr w:type="spellEnd"/>
      <w:r w:rsidRPr="009F549F">
        <w:rPr>
          <w:rFonts w:eastAsia="Century Schoolbook"/>
          <w:color w:val="000000"/>
        </w:rPr>
        <w:t>, Emma Chamberlain</w:t>
      </w:r>
      <w:r w:rsidRPr="007D6E99">
        <w:rPr>
          <w:rFonts w:ascii="Century Schoolbook" w:eastAsia="Century Schoolbook" w:hAnsi="Century Schoolbook" w:cs="Century Schoolbook"/>
          <w:color w:val="000000"/>
          <w:sz w:val="20"/>
          <w:szCs w:val="20"/>
        </w:rPr>
        <w:t>,</w:t>
      </w:r>
      <w:r w:rsidRPr="009F549F">
        <w:rPr>
          <w:rFonts w:eastAsia="Century Schoolbook"/>
          <w:color w:val="000000"/>
        </w:rPr>
        <w:t xml:space="preserve"> &amp; Carl Emmerson, </w:t>
      </w:r>
      <w:r w:rsidRPr="009F549F">
        <w:rPr>
          <w:rFonts w:eastAsia="Century Schoolbook"/>
          <w:i/>
          <w:color w:val="000000"/>
        </w:rPr>
        <w:t>Taxation of Wealth and Wealth Transfers</w:t>
      </w:r>
      <w:r w:rsidRPr="009F549F">
        <w:rPr>
          <w:rFonts w:eastAsia="Century Schoolbook"/>
          <w:color w:val="000000"/>
        </w:rPr>
        <w:t xml:space="preserve">, </w:t>
      </w:r>
      <w:r w:rsidRPr="009F549F">
        <w:rPr>
          <w:rFonts w:eastAsia="Century Schoolbook"/>
          <w:i/>
          <w:color w:val="000000"/>
        </w:rPr>
        <w:t>in</w:t>
      </w:r>
      <w:r w:rsidRPr="009F549F">
        <w:rPr>
          <w:rFonts w:eastAsia="Century Schoolbook"/>
          <w:color w:val="000000"/>
        </w:rPr>
        <w:t xml:space="preserve"> </w:t>
      </w:r>
      <w:r w:rsidRPr="009F549F">
        <w:rPr>
          <w:rFonts w:eastAsia="Century Schoolbook"/>
          <w:smallCaps/>
          <w:color w:val="000000"/>
        </w:rPr>
        <w:t xml:space="preserve">Tax by Design </w:t>
      </w:r>
      <w:r w:rsidRPr="009F549F">
        <w:rPr>
          <w:rFonts w:eastAsia="Century Schoolbook"/>
          <w:color w:val="000000"/>
        </w:rPr>
        <w:t xml:space="preserve">737, 776, 784 (James </w:t>
      </w:r>
      <w:proofErr w:type="spellStart"/>
      <w:r w:rsidRPr="009F549F">
        <w:rPr>
          <w:rFonts w:eastAsia="Century Schoolbook"/>
          <w:color w:val="000000"/>
        </w:rPr>
        <w:t>Mirrlees</w:t>
      </w:r>
      <w:proofErr w:type="spellEnd"/>
      <w:r w:rsidRPr="009F549F">
        <w:rPr>
          <w:rFonts w:eastAsia="Century Schoolbook"/>
          <w:color w:val="000000"/>
        </w:rPr>
        <w:t xml:space="preserve"> et al. eds., 2011); Sarin et al., </w:t>
      </w:r>
      <w:r w:rsidRPr="009F549F">
        <w:rPr>
          <w:rFonts w:eastAsia="Century Schoolbook"/>
          <w:i/>
          <w:color w:val="000000"/>
        </w:rPr>
        <w:t>supra</w:t>
      </w:r>
      <w:r w:rsidRPr="009F549F">
        <w:rPr>
          <w:rFonts w:eastAsia="Century Schoolbook"/>
          <w:color w:val="000000"/>
        </w:rPr>
        <w:t xml:space="preserve"> note </w:t>
      </w:r>
      <w:r w:rsidRPr="00036097">
        <w:rPr>
          <w:rFonts w:eastAsia="Century Schoolbook"/>
          <w:color w:val="000000"/>
        </w:rPr>
        <w:fldChar w:fldCharType="begin"/>
      </w:r>
      <w:r w:rsidRPr="00036097">
        <w:rPr>
          <w:rFonts w:eastAsia="Century Schoolbook"/>
          <w:color w:val="000000"/>
        </w:rPr>
        <w:instrText xml:space="preserve"> NOTEREF _Ref115615040 \h  \* MERGEFORMAT </w:instrText>
      </w:r>
      <w:r w:rsidRPr="00036097">
        <w:rPr>
          <w:rFonts w:eastAsia="Century Schoolbook"/>
          <w:color w:val="000000"/>
        </w:rPr>
      </w:r>
      <w:r w:rsidRPr="00036097">
        <w:rPr>
          <w:rFonts w:eastAsia="Century Schoolbook"/>
          <w:color w:val="000000"/>
        </w:rPr>
        <w:fldChar w:fldCharType="separate"/>
      </w:r>
      <w:r>
        <w:rPr>
          <w:rFonts w:eastAsia="Century Schoolbook"/>
          <w:color w:val="000000"/>
        </w:rPr>
        <w:t>13</w:t>
      </w:r>
      <w:r w:rsidRPr="00036097">
        <w:rPr>
          <w:rFonts w:eastAsia="Century Schoolbook"/>
          <w:color w:val="000000"/>
        </w:rPr>
        <w:fldChar w:fldCharType="end"/>
      </w:r>
      <w:r w:rsidRPr="00036097">
        <w:rPr>
          <w:rFonts w:eastAsia="Century Schoolbook"/>
          <w:color w:val="000000"/>
        </w:rPr>
        <w:t>,</w:t>
      </w:r>
      <w:r w:rsidRPr="009F549F">
        <w:rPr>
          <w:rFonts w:eastAsia="Century Schoolbook"/>
          <w:color w:val="000000"/>
        </w:rPr>
        <w:t xml:space="preserve"> at 344; Howard </w:t>
      </w:r>
      <w:proofErr w:type="spellStart"/>
      <w:r w:rsidRPr="009F549F">
        <w:rPr>
          <w:rFonts w:eastAsia="Century Schoolbook"/>
          <w:color w:val="000000"/>
        </w:rPr>
        <w:t>Gleckman</w:t>
      </w:r>
      <w:proofErr w:type="spellEnd"/>
      <w:r w:rsidRPr="009F549F">
        <w:rPr>
          <w:rFonts w:eastAsia="Century Schoolbook"/>
          <w:color w:val="000000"/>
        </w:rPr>
        <w:t xml:space="preserve">, </w:t>
      </w:r>
      <w:proofErr w:type="spellStart"/>
      <w:r w:rsidRPr="007D6E99">
        <w:rPr>
          <w:rFonts w:ascii="Century Schoolbook" w:eastAsia="Century Schoolbook" w:hAnsi="Century Schoolbook" w:cs="Century Schoolbook"/>
          <w:color w:val="000000"/>
          <w:sz w:val="20"/>
          <w:szCs w:val="20"/>
        </w:rPr>
        <w:t>TaxVox</w:t>
      </w:r>
      <w:proofErr w:type="spellEnd"/>
      <w:r w:rsidRPr="007D6E99">
        <w:rPr>
          <w:rFonts w:ascii="Century Schoolbook" w:eastAsia="Century Schoolbook" w:hAnsi="Century Schoolbook" w:cs="Century Schoolbook"/>
          <w:color w:val="000000"/>
          <w:sz w:val="20"/>
          <w:szCs w:val="20"/>
        </w:rPr>
        <w:t xml:space="preserve"> blog, </w:t>
      </w:r>
      <w:r w:rsidRPr="009F549F">
        <w:rPr>
          <w:rFonts w:eastAsia="Century Schoolbook"/>
          <w:i/>
          <w:color w:val="000000"/>
        </w:rPr>
        <w:t xml:space="preserve">Inequality is a Big and Growing Issue, But </w:t>
      </w:r>
      <w:r w:rsidRPr="00036097">
        <w:rPr>
          <w:rFonts w:eastAsia="Century Schoolbook"/>
          <w:i/>
          <w:iCs/>
          <w:color w:val="000000"/>
        </w:rPr>
        <w:t>a</w:t>
      </w:r>
      <w:r w:rsidRPr="009F549F">
        <w:rPr>
          <w:rFonts w:eastAsia="Century Schoolbook"/>
          <w:i/>
          <w:color w:val="000000"/>
        </w:rPr>
        <w:t xml:space="preserve"> Wealth Tax May Not Be the Solution</w:t>
      </w:r>
      <w:r w:rsidRPr="009F549F">
        <w:rPr>
          <w:rFonts w:eastAsia="Century Schoolbook"/>
          <w:color w:val="000000"/>
        </w:rPr>
        <w:t xml:space="preserve">, </w:t>
      </w:r>
      <w:proofErr w:type="spellStart"/>
      <w:r w:rsidRPr="00036097">
        <w:rPr>
          <w:rFonts w:eastAsia="Century Schoolbook"/>
          <w:smallCaps/>
          <w:color w:val="000000"/>
        </w:rPr>
        <w:t>TaxVox</w:t>
      </w:r>
      <w:proofErr w:type="spellEnd"/>
      <w:r w:rsidRPr="00036097">
        <w:rPr>
          <w:rFonts w:eastAsia="Century Schoolbook"/>
          <w:smallCaps/>
          <w:color w:val="000000"/>
        </w:rPr>
        <w:t xml:space="preserve"> (</w:t>
      </w:r>
      <w:r w:rsidRPr="00036097">
        <w:rPr>
          <w:rFonts w:eastAsia="Century Schoolbook"/>
          <w:color w:val="000000"/>
        </w:rPr>
        <w:t xml:space="preserve">Jan. 24, 2020), </w:t>
      </w:r>
      <w:r w:rsidRPr="00B2480F">
        <w:rPr>
          <w:rFonts w:eastAsia="Century Schoolbook"/>
        </w:rPr>
        <w:t>https://www.taxpolicycenter.org/</w:t>
      </w:r>
      <w:r w:rsidRPr="00036097">
        <w:rPr>
          <w:rFonts w:eastAsia="Century Schoolbook"/>
        </w:rPr>
        <w:br/>
      </w:r>
      <w:r w:rsidRPr="00B2480F">
        <w:rPr>
          <w:rFonts w:eastAsia="Century Schoolbook"/>
        </w:rPr>
        <w:t>taxvox/inequality-big-and-growing-issue-wealth-tax-may-not-be-solution</w:t>
      </w:r>
      <w:r w:rsidRPr="00036097">
        <w:rPr>
          <w:rFonts w:eastAsia="Century Schoolbook"/>
        </w:rPr>
        <w:t xml:space="preserve"> [https://perma.cc/67T3-NBRX]</w:t>
      </w:r>
      <w:r w:rsidRPr="00036097">
        <w:rPr>
          <w:rFonts w:eastAsia="Century Schoolbook"/>
          <w:color w:val="000000"/>
        </w:rPr>
        <w:t>.</w:t>
      </w:r>
      <w:r w:rsidRPr="009F549F">
        <w:rPr>
          <w:rFonts w:eastAsia="Century Schoolbook"/>
          <w:color w:val="000000"/>
        </w:rPr>
        <w:t xml:space="preserve"> </w:t>
      </w:r>
    </w:p>
    <w:p w14:paraId="510A3D0E" w14:textId="27F974BC" w:rsidR="006E30B5" w:rsidRPr="009F549F" w:rsidRDefault="006E30B5">
      <w:pPr>
        <w:pBdr>
          <w:top w:val="nil"/>
          <w:left w:val="nil"/>
          <w:bottom w:val="nil"/>
          <w:right w:val="nil"/>
          <w:between w:val="nil"/>
        </w:pBdr>
        <w:ind w:firstLine="720"/>
        <w:rPr>
          <w:rFonts w:eastAsia="Century Schoolbook"/>
          <w:color w:val="000000"/>
        </w:rPr>
      </w:pPr>
      <w:r w:rsidRPr="009F549F">
        <w:rPr>
          <w:rFonts w:eastAsia="Century Schoolbook"/>
          <w:color w:val="000000"/>
        </w:rPr>
        <w:t xml:space="preserve">The other primary objection to wealth tax reforms at the U.S. federal level is constitutionality; however, one of us argues in another article </w:t>
      </w:r>
      <w:r w:rsidRPr="00036097">
        <w:rPr>
          <w:rFonts w:eastAsia="Century Schoolbook"/>
          <w:color w:val="000000"/>
        </w:rPr>
        <w:t>that</w:t>
      </w:r>
      <w:r w:rsidRPr="009F549F">
        <w:rPr>
          <w:rFonts w:eastAsia="Century Schoolbook"/>
          <w:color w:val="000000"/>
        </w:rPr>
        <w:t xml:space="preserve"> constitutionality concerns should not stand in the way of </w:t>
      </w:r>
      <w:r>
        <w:rPr>
          <w:rFonts w:eastAsia="Century Schoolbook"/>
          <w:color w:val="000000"/>
        </w:rPr>
        <w:t xml:space="preserve">a </w:t>
      </w:r>
      <w:r w:rsidRPr="009F549F">
        <w:rPr>
          <w:rFonts w:eastAsia="Century Schoolbook"/>
          <w:color w:val="000000"/>
        </w:rPr>
        <w:t>federal wealth tax or related reforms</w:t>
      </w:r>
      <w:r w:rsidRPr="00036097">
        <w:rPr>
          <w:rFonts w:eastAsia="Century Schoolbook"/>
          <w:color w:val="000000"/>
        </w:rPr>
        <w:t xml:space="preserve">. </w:t>
      </w:r>
      <w:r w:rsidRPr="00036097">
        <w:rPr>
          <w:rFonts w:eastAsia="Century Schoolbook"/>
          <w:i/>
          <w:iCs/>
          <w:color w:val="000000"/>
        </w:rPr>
        <w:t>S</w:t>
      </w:r>
      <w:r w:rsidRPr="009F549F">
        <w:rPr>
          <w:rFonts w:eastAsia="Century Schoolbook"/>
          <w:i/>
          <w:color w:val="000000"/>
        </w:rPr>
        <w:t>ee</w:t>
      </w:r>
      <w:r w:rsidRPr="009F549F">
        <w:rPr>
          <w:rFonts w:eastAsia="Century Schoolbook"/>
          <w:color w:val="000000"/>
        </w:rPr>
        <w:t xml:space="preserve"> John R. Brooks &amp; David Gamage, </w:t>
      </w:r>
      <w:r w:rsidRPr="009F549F">
        <w:rPr>
          <w:rFonts w:eastAsia="Century Schoolbook"/>
          <w:i/>
          <w:color w:val="000000"/>
        </w:rPr>
        <w:t>Taxation and the Constitution, Reconsidered</w:t>
      </w:r>
      <w:r w:rsidRPr="009F549F">
        <w:rPr>
          <w:rFonts w:eastAsia="Century Schoolbook"/>
          <w:color w:val="000000"/>
        </w:rPr>
        <w:t xml:space="preserve">, </w:t>
      </w:r>
      <w:r w:rsidRPr="009F549F">
        <w:rPr>
          <w:rFonts w:eastAsia="Century Schoolbook"/>
          <w:smallCaps/>
          <w:color w:val="000000"/>
        </w:rPr>
        <w:t>Tax L. Rev</w:t>
      </w:r>
      <w:r w:rsidRPr="009F549F">
        <w:rPr>
          <w:rFonts w:eastAsia="Century Schoolbook"/>
          <w:color w:val="000000"/>
        </w:rPr>
        <w:t xml:space="preserve">. </w:t>
      </w:r>
      <w:r w:rsidRPr="00036097">
        <w:rPr>
          <w:rFonts w:eastAsia="Century Schoolbook"/>
          <w:color w:val="000000"/>
        </w:rPr>
        <w:t xml:space="preserve">1, 7 </w:t>
      </w:r>
      <w:r w:rsidRPr="009F549F">
        <w:rPr>
          <w:rFonts w:eastAsia="Century Schoolbook"/>
          <w:color w:val="000000"/>
        </w:rPr>
        <w:t>(forthcoming), available at</w:t>
      </w:r>
      <w:r w:rsidRPr="007D6E99">
        <w:rPr>
          <w:rFonts w:ascii="Century Schoolbook" w:eastAsia="Century Schoolbook" w:hAnsi="Century Schoolbook" w:cs="Century Schoolbook"/>
          <w:color w:val="000000"/>
          <w:sz w:val="20"/>
          <w:szCs w:val="20"/>
        </w:rPr>
        <w:t xml:space="preserve"> SSRN: </w:t>
      </w:r>
      <w:r w:rsidRPr="005F009D">
        <w:rPr>
          <w:rFonts w:eastAsia="Century Schoolbook"/>
        </w:rPr>
        <w:t>https://ssrn.com/abstract=4061257</w:t>
      </w:r>
      <w:r w:rsidRPr="00036097">
        <w:rPr>
          <w:rFonts w:eastAsia="Century Schoolbook"/>
        </w:rPr>
        <w:t xml:space="preserve"> [https://perma.cc/5GQA-6K7E]</w:t>
      </w:r>
      <w:r w:rsidRPr="00036097">
        <w:rPr>
          <w:rFonts w:eastAsia="Century Schoolbook"/>
          <w:color w:val="000000"/>
        </w:rPr>
        <w:t>. </w:t>
      </w:r>
      <w:r w:rsidRPr="009F549F">
        <w:rPr>
          <w:rFonts w:eastAsia="Century Schoolbook"/>
          <w:color w:val="000000"/>
        </w:rPr>
        <w:t xml:space="preserve"> </w:t>
      </w:r>
    </w:p>
  </w:footnote>
  <w:footnote w:id="21">
    <w:p w14:paraId="10D5194E" w14:textId="7D604856" w:rsidR="006E30B5" w:rsidRPr="009F549F" w:rsidRDefault="006E30B5">
      <w:pPr>
        <w:pBdr>
          <w:top w:val="nil"/>
          <w:left w:val="nil"/>
          <w:bottom w:val="nil"/>
          <w:right w:val="nil"/>
          <w:between w:val="nil"/>
        </w:pBdr>
        <w:rPr>
          <w:rFonts w:eastAsia="Century Schoolbook"/>
          <w:color w:val="000000"/>
        </w:rPr>
      </w:pPr>
      <w:r w:rsidRPr="009F549F">
        <w:rPr>
          <w:vertAlign w:val="superscript"/>
        </w:rPr>
        <w:footnoteRef/>
      </w:r>
      <w:r w:rsidRPr="009F549F">
        <w:rPr>
          <w:rFonts w:eastAsia="Century Schoolbook"/>
          <w:color w:val="000000"/>
        </w:rPr>
        <w:t xml:space="preserve"> </w:t>
      </w:r>
      <w:r w:rsidRPr="009F549F">
        <w:rPr>
          <w:rFonts w:eastAsia="Century Schoolbook"/>
          <w:i/>
          <w:color w:val="000000"/>
        </w:rPr>
        <w:t>Id</w:t>
      </w:r>
      <w:r w:rsidRPr="009F549F">
        <w:rPr>
          <w:rFonts w:eastAsia="Century Schoolbook"/>
          <w:color w:val="000000"/>
        </w:rPr>
        <w:t>.</w:t>
      </w:r>
      <w:r w:rsidRPr="00036097">
        <w:rPr>
          <w:rFonts w:eastAsia="Century Schoolbook"/>
          <w:color w:val="000000"/>
        </w:rPr>
        <w:t xml:space="preserve"> </w:t>
      </w:r>
    </w:p>
  </w:footnote>
  <w:footnote w:id="22">
    <w:p w14:paraId="5A38894B" w14:textId="251EC346" w:rsidR="006E30B5" w:rsidRPr="009F549F" w:rsidRDefault="006E30B5">
      <w:pPr>
        <w:pBdr>
          <w:top w:val="nil"/>
          <w:left w:val="nil"/>
          <w:bottom w:val="nil"/>
          <w:right w:val="nil"/>
          <w:between w:val="nil"/>
        </w:pBdr>
        <w:rPr>
          <w:rFonts w:eastAsia="Century Schoolbook"/>
          <w:b/>
          <w:color w:val="000000"/>
        </w:rPr>
      </w:pPr>
      <w:r w:rsidRPr="009F549F">
        <w:rPr>
          <w:vertAlign w:val="superscript"/>
        </w:rPr>
        <w:footnoteRef/>
      </w:r>
      <w:r w:rsidRPr="009F549F">
        <w:rPr>
          <w:rFonts w:eastAsia="Century Schoolbook"/>
          <w:color w:val="000000"/>
        </w:rPr>
        <w:t xml:space="preserve"> </w:t>
      </w:r>
      <w:r w:rsidRPr="009F549F">
        <w:rPr>
          <w:rFonts w:eastAsia="Century Schoolbook"/>
          <w:i/>
          <w:color w:val="000000"/>
        </w:rPr>
        <w:t>See</w:t>
      </w:r>
      <w:r w:rsidRPr="009F549F">
        <w:rPr>
          <w:rFonts w:eastAsia="Century Schoolbook"/>
          <w:color w:val="000000"/>
        </w:rPr>
        <w:t xml:space="preserve"> </w:t>
      </w:r>
      <w:r w:rsidRPr="009F549F">
        <w:rPr>
          <w:rFonts w:eastAsia="Century Schoolbook"/>
          <w:i/>
          <w:color w:val="000000"/>
        </w:rPr>
        <w:t>infra</w:t>
      </w:r>
      <w:r w:rsidRPr="009F549F">
        <w:rPr>
          <w:rFonts w:eastAsia="Century Schoolbook"/>
          <w:color w:val="000000"/>
        </w:rPr>
        <w:t xml:space="preserve"> Part </w:t>
      </w:r>
      <w:r w:rsidRPr="002541CE">
        <w:rPr>
          <w:rFonts w:eastAsia="Century Schoolbook"/>
        </w:rPr>
        <w:fldChar w:fldCharType="begin"/>
      </w:r>
      <w:r w:rsidRPr="002541CE">
        <w:rPr>
          <w:rFonts w:eastAsia="Century Schoolbook"/>
        </w:rPr>
        <w:instrText xml:space="preserve"> REF _Ref119423551 \h  \* MERGEFORMAT </w:instrText>
      </w:r>
      <w:r w:rsidRPr="002541CE">
        <w:rPr>
          <w:rFonts w:eastAsia="Century Schoolbook"/>
        </w:rPr>
      </w:r>
      <w:r w:rsidRPr="002541CE">
        <w:rPr>
          <w:rFonts w:eastAsia="Century Schoolbook"/>
        </w:rPr>
        <w:fldChar w:fldCharType="separate"/>
      </w:r>
      <w:r w:rsidRPr="009F549F">
        <w:t xml:space="preserve">E.       </w:t>
      </w:r>
      <w:r w:rsidRPr="002B7D8E">
        <w:rPr>
          <w:i/>
        </w:rPr>
        <w:t>Other Income Tax Reforms</w:t>
      </w:r>
      <w:r w:rsidRPr="002541CE">
        <w:rPr>
          <w:rFonts w:eastAsia="Century Schoolbook"/>
        </w:rPr>
        <w:fldChar w:fldCharType="end"/>
      </w:r>
      <w:r w:rsidRPr="002541CE">
        <w:rPr>
          <w:rFonts w:eastAsia="Century Schoolbook"/>
        </w:rPr>
        <w:t>.</w:t>
      </w:r>
      <w:r w:rsidRPr="009F549F">
        <w:rPr>
          <w:rFonts w:eastAsia="Century Schoolbook"/>
        </w:rPr>
        <w:t xml:space="preserve"> </w:t>
      </w:r>
    </w:p>
  </w:footnote>
  <w:footnote w:id="23">
    <w:p w14:paraId="45F7F8C8" w14:textId="28361EAF" w:rsidR="006E30B5" w:rsidRPr="009F549F" w:rsidRDefault="006E30B5">
      <w:pPr>
        <w:pBdr>
          <w:top w:val="nil"/>
          <w:left w:val="nil"/>
          <w:bottom w:val="nil"/>
          <w:right w:val="nil"/>
          <w:between w:val="nil"/>
        </w:pBdr>
        <w:rPr>
          <w:rFonts w:eastAsia="Century Schoolbook"/>
          <w:color w:val="000000"/>
        </w:rPr>
      </w:pPr>
      <w:r w:rsidRPr="009F549F">
        <w:rPr>
          <w:vertAlign w:val="superscript"/>
        </w:rPr>
        <w:footnoteRef/>
      </w:r>
      <w:r w:rsidRPr="009F549F">
        <w:rPr>
          <w:rFonts w:eastAsia="Century Schoolbook"/>
          <w:color w:val="000000"/>
        </w:rPr>
        <w:t xml:space="preserve"> </w:t>
      </w:r>
      <w:proofErr w:type="spellStart"/>
      <w:r w:rsidRPr="009F549F">
        <w:rPr>
          <w:rFonts w:eastAsia="Century Schoolbook"/>
          <w:smallCaps/>
          <w:color w:val="000000"/>
        </w:rPr>
        <w:t>Organisation</w:t>
      </w:r>
      <w:proofErr w:type="spellEnd"/>
      <w:r w:rsidRPr="009F549F">
        <w:rPr>
          <w:rFonts w:eastAsia="Century Schoolbook"/>
          <w:smallCaps/>
          <w:color w:val="000000"/>
        </w:rPr>
        <w:t xml:space="preserve"> for Economic Cooperation and Development</w:t>
      </w:r>
      <w:r w:rsidRPr="00036097">
        <w:rPr>
          <w:rFonts w:eastAsia="Century Schoolbook"/>
          <w:smallCaps/>
          <w:color w:val="000000"/>
        </w:rPr>
        <w:t xml:space="preserve"> [OECD]</w:t>
      </w:r>
      <w:r w:rsidRPr="00036097">
        <w:rPr>
          <w:rFonts w:eastAsia="Century Schoolbook"/>
          <w:color w:val="000000"/>
        </w:rPr>
        <w:t>,</w:t>
      </w:r>
      <w:r w:rsidRPr="009F549F">
        <w:rPr>
          <w:rFonts w:eastAsia="Century Schoolbook"/>
          <w:color w:val="000000"/>
        </w:rPr>
        <w:t xml:space="preserve"> </w:t>
      </w:r>
      <w:r w:rsidRPr="009F549F">
        <w:rPr>
          <w:rFonts w:eastAsia="Century Schoolbook"/>
          <w:smallCaps/>
          <w:color w:val="000000"/>
        </w:rPr>
        <w:t xml:space="preserve">The Role and Design of Net Wealth Taxes in the OECD </w:t>
      </w:r>
      <w:r w:rsidRPr="009F549F">
        <w:rPr>
          <w:rFonts w:eastAsia="Century Schoolbook"/>
          <w:color w:val="000000"/>
        </w:rPr>
        <w:t>69 (2018) (“Partly as a consequence of valuation issues, many of these hard-to-value assets have been exempted from wealth taxes, eroding the tax base, distorting the choice of savings vehicles and creating opportunities for tax avoidance.”).</w:t>
      </w:r>
    </w:p>
  </w:footnote>
  <w:footnote w:id="24">
    <w:p w14:paraId="550FF822" w14:textId="064F1A59" w:rsidR="006E30B5" w:rsidRPr="009F549F" w:rsidRDefault="006E30B5">
      <w:pPr>
        <w:pBdr>
          <w:top w:val="nil"/>
          <w:left w:val="nil"/>
          <w:bottom w:val="nil"/>
          <w:right w:val="nil"/>
          <w:between w:val="nil"/>
        </w:pBdr>
        <w:rPr>
          <w:rFonts w:eastAsia="Century Schoolbook"/>
          <w:b/>
          <w:color w:val="000000"/>
        </w:rPr>
      </w:pPr>
      <w:r w:rsidRPr="009F549F">
        <w:rPr>
          <w:vertAlign w:val="superscript"/>
        </w:rPr>
        <w:footnoteRef/>
      </w:r>
      <w:r w:rsidRPr="009F549F">
        <w:rPr>
          <w:rFonts w:eastAsia="Century Schoolbook"/>
          <w:color w:val="000000"/>
        </w:rPr>
        <w:t xml:space="preserve"> Stephen B. Land, </w:t>
      </w:r>
      <w:r w:rsidRPr="009F549F">
        <w:rPr>
          <w:rFonts w:eastAsia="Century Schoolbook"/>
          <w:i/>
          <w:color w:val="000000"/>
        </w:rPr>
        <w:t>Defeating Deferral: A Proposal for Retrospective Taxation</w:t>
      </w:r>
      <w:r w:rsidRPr="009F549F">
        <w:rPr>
          <w:rFonts w:eastAsia="Century Schoolbook"/>
          <w:color w:val="000000"/>
        </w:rPr>
        <w:t xml:space="preserve">, 52 </w:t>
      </w:r>
      <w:r w:rsidRPr="009F549F">
        <w:rPr>
          <w:rFonts w:eastAsia="Century Schoolbook"/>
          <w:smallCaps/>
          <w:color w:val="000000"/>
        </w:rPr>
        <w:t>Tax L. Rev.</w:t>
      </w:r>
      <w:r w:rsidRPr="009F549F">
        <w:rPr>
          <w:rFonts w:eastAsia="Century Schoolbook"/>
          <w:color w:val="000000"/>
        </w:rPr>
        <w:t xml:space="preserve"> </w:t>
      </w:r>
      <w:r w:rsidRPr="009F549F">
        <w:rPr>
          <w:rFonts w:eastAsia="Century Schoolbook"/>
          <w:color w:val="000000"/>
        </w:rPr>
        <w:t>45, 59–73 (1996</w:t>
      </w:r>
      <w:r w:rsidRPr="00036097">
        <w:rPr>
          <w:rFonts w:eastAsia="Century Schoolbook"/>
          <w:color w:val="000000"/>
        </w:rPr>
        <w:t xml:space="preserve">). </w:t>
      </w:r>
    </w:p>
  </w:footnote>
  <w:footnote w:id="25">
    <w:p w14:paraId="60AF0445" w14:textId="23B27CDC" w:rsidR="006E30B5" w:rsidRPr="009F549F" w:rsidRDefault="006E30B5">
      <w:pPr>
        <w:pBdr>
          <w:top w:val="nil"/>
          <w:left w:val="nil"/>
          <w:bottom w:val="nil"/>
          <w:right w:val="nil"/>
          <w:between w:val="nil"/>
        </w:pBdr>
        <w:rPr>
          <w:rFonts w:eastAsia="Century Schoolbook"/>
          <w:color w:val="000000"/>
        </w:rPr>
      </w:pPr>
      <w:r w:rsidRPr="009F549F">
        <w:rPr>
          <w:vertAlign w:val="superscript"/>
        </w:rPr>
        <w:footnoteRef/>
      </w:r>
      <w:r w:rsidRPr="009F549F">
        <w:rPr>
          <w:rFonts w:eastAsia="Century Schoolbook"/>
          <w:color w:val="000000"/>
        </w:rPr>
        <w:t xml:space="preserve"> </w:t>
      </w:r>
      <w:r w:rsidRPr="009F549F">
        <w:rPr>
          <w:rFonts w:eastAsia="Century Schoolbook"/>
          <w:i/>
          <w:color w:val="000000"/>
        </w:rPr>
        <w:t>See infra</w:t>
      </w:r>
      <w:r w:rsidRPr="009F549F">
        <w:rPr>
          <w:rFonts w:eastAsia="Century Schoolbook"/>
          <w:color w:val="000000"/>
        </w:rPr>
        <w:t xml:space="preserve"> Part </w:t>
      </w:r>
      <w:r w:rsidRPr="00036097">
        <w:rPr>
          <w:rFonts w:eastAsia="Century Schoolbook"/>
          <w:color w:val="000000"/>
        </w:rPr>
        <w:fldChar w:fldCharType="begin"/>
      </w:r>
      <w:r w:rsidRPr="00036097">
        <w:rPr>
          <w:rFonts w:eastAsia="Century Schoolbook"/>
          <w:color w:val="000000"/>
        </w:rPr>
        <w:instrText xml:space="preserve"> REF _Ref115617043 \r \h  \* MERGEFORMAT </w:instrText>
      </w:r>
      <w:r w:rsidRPr="00036097">
        <w:rPr>
          <w:rFonts w:eastAsia="Century Schoolbook"/>
          <w:color w:val="000000"/>
        </w:rPr>
      </w:r>
      <w:r w:rsidRPr="00036097">
        <w:rPr>
          <w:rFonts w:eastAsia="Century Schoolbook"/>
          <w:color w:val="000000"/>
        </w:rPr>
        <w:fldChar w:fldCharType="separate"/>
      </w:r>
      <w:r>
        <w:rPr>
          <w:rFonts w:eastAsia="Century Schoolbook"/>
          <w:color w:val="000000"/>
        </w:rPr>
        <w:t>I</w:t>
      </w:r>
      <w:r w:rsidRPr="00036097">
        <w:rPr>
          <w:rFonts w:eastAsia="Century Schoolbook"/>
          <w:color w:val="000000"/>
        </w:rPr>
        <w:fldChar w:fldCharType="end"/>
      </w:r>
      <w:r w:rsidRPr="00036097">
        <w:rPr>
          <w:rFonts w:eastAsia="Century Schoolbook"/>
          <w:color w:val="000000"/>
        </w:rPr>
        <w:t>.</w:t>
      </w:r>
    </w:p>
  </w:footnote>
  <w:footnote w:id="26">
    <w:p w14:paraId="3543B5B1" w14:textId="27CE4055" w:rsidR="006E30B5" w:rsidRPr="009F549F" w:rsidRDefault="006E30B5">
      <w:pPr>
        <w:rPr>
          <w:rFonts w:eastAsia="Century Schoolbook"/>
          <w:b/>
        </w:rPr>
      </w:pPr>
      <w:r w:rsidRPr="009F549F">
        <w:rPr>
          <w:vertAlign w:val="superscript"/>
        </w:rPr>
        <w:footnoteRef/>
      </w:r>
      <w:r w:rsidRPr="009F549F">
        <w:rPr>
          <w:rFonts w:eastAsia="Century Schoolbook"/>
        </w:rPr>
        <w:t xml:space="preserve"> Cook County Treasurer, </w:t>
      </w:r>
      <w:r w:rsidRPr="009F549F">
        <w:rPr>
          <w:rFonts w:eastAsia="Century Schoolbook"/>
          <w:i/>
        </w:rPr>
        <w:t>The Senior Citizen Real Estate Tax Deferral Program</w:t>
      </w:r>
      <w:r w:rsidRPr="009F549F">
        <w:rPr>
          <w:rFonts w:eastAsia="Century Schoolbook"/>
        </w:rPr>
        <w:t xml:space="preserve">, </w:t>
      </w:r>
      <w:r w:rsidRPr="00036097">
        <w:rPr>
          <w:rFonts w:eastAsia="Century Schoolbook"/>
          <w:smallCaps/>
        </w:rPr>
        <w:t xml:space="preserve">Cook </w:t>
      </w:r>
      <w:proofErr w:type="spellStart"/>
      <w:r w:rsidRPr="00036097">
        <w:rPr>
          <w:rFonts w:eastAsia="Century Schoolbook"/>
          <w:smallCaps/>
        </w:rPr>
        <w:t>Cnty</w:t>
      </w:r>
      <w:proofErr w:type="spellEnd"/>
      <w:r w:rsidRPr="00036097">
        <w:rPr>
          <w:rFonts w:eastAsia="Century Schoolbook"/>
          <w:smallCaps/>
        </w:rPr>
        <w:t xml:space="preserve">. Treasurer’s Off. </w:t>
      </w:r>
      <w:r w:rsidRPr="00036097">
        <w:rPr>
          <w:rFonts w:eastAsia="Century Schoolbook"/>
        </w:rPr>
        <w:t xml:space="preserve">(2022), </w:t>
      </w:r>
      <w:r w:rsidRPr="009F549F">
        <w:rPr>
          <w:rFonts w:eastAsia="Century Schoolbook"/>
        </w:rPr>
        <w:t>https://www.cookcountytreasurer.com/</w:t>
      </w:r>
      <w:r w:rsidRPr="00036097">
        <w:rPr>
          <w:rFonts w:eastAsia="Century Schoolbook"/>
        </w:rPr>
        <w:br/>
      </w:r>
      <w:r w:rsidRPr="009F549F">
        <w:rPr>
          <w:rFonts w:eastAsia="Century Schoolbook"/>
        </w:rPr>
        <w:t>theseniorcitizenrealestatetaxdeferralprogram.aspx</w:t>
      </w:r>
      <w:r w:rsidRPr="00036097">
        <w:rPr>
          <w:rFonts w:eastAsia="Century Schoolbook"/>
        </w:rPr>
        <w:t xml:space="preserve"> [https://perma.cc/2DM8-TQXP].</w:t>
      </w:r>
      <w:r w:rsidRPr="009F549F">
        <w:rPr>
          <w:rFonts w:eastAsia="Century Schoolbook"/>
        </w:rPr>
        <w:t xml:space="preserve"> </w:t>
      </w:r>
      <w:r w:rsidRPr="009F549F">
        <w:rPr>
          <w:rFonts w:eastAsia="Century Schoolbook"/>
          <w:i/>
        </w:rPr>
        <w:t>But see</w:t>
      </w:r>
      <w:r w:rsidRPr="009F549F">
        <w:rPr>
          <w:rFonts w:eastAsia="Century Schoolbook"/>
        </w:rPr>
        <w:t xml:space="preserve"> </w:t>
      </w:r>
      <w:r w:rsidRPr="009F549F">
        <w:rPr>
          <w:rFonts w:eastAsia="Century Schoolbook"/>
          <w:smallCaps/>
        </w:rPr>
        <w:t>Oscar Wilde, The Picture of Dorian Gray (1890</w:t>
      </w:r>
      <w:r w:rsidRPr="00036097">
        <w:rPr>
          <w:rFonts w:eastAsia="Century Schoolbook"/>
          <w:smallCaps/>
        </w:rPr>
        <w:t>)</w:t>
      </w:r>
      <w:r w:rsidRPr="009F549F">
        <w:rPr>
          <w:rFonts w:eastAsia="Century Schoolbook"/>
        </w:rPr>
        <w:t xml:space="preserve">. </w:t>
      </w:r>
    </w:p>
  </w:footnote>
  <w:footnote w:id="27">
    <w:p w14:paraId="019E0CFD" w14:textId="2B18A3BB" w:rsidR="006E30B5" w:rsidRPr="009F549F" w:rsidRDefault="006E30B5">
      <w:pPr>
        <w:rPr>
          <w:rFonts w:eastAsia="Century Schoolbook"/>
        </w:rPr>
      </w:pPr>
      <w:r w:rsidRPr="009F549F">
        <w:rPr>
          <w:vertAlign w:val="superscript"/>
        </w:rPr>
        <w:footnoteRef/>
      </w:r>
      <w:r w:rsidRPr="009F549F">
        <w:rPr>
          <w:rFonts w:eastAsia="Century Schoolbook"/>
        </w:rPr>
        <w:t xml:space="preserve"> In addition, to charge the correct amount of interest, the government must know not only the value of the asset when it is sold but also the value that should have been subject to tax at the earlier time. By assumption, that government does not know that, and the subsequent sale </w:t>
      </w:r>
      <w:r w:rsidRPr="00036097">
        <w:rPr>
          <w:rFonts w:eastAsia="Century Schoolbook"/>
        </w:rPr>
        <w:t>does</w:t>
      </w:r>
      <w:r>
        <w:rPr>
          <w:rFonts w:eastAsia="Century Schoolbook"/>
        </w:rPr>
        <w:t xml:space="preserve"> no</w:t>
      </w:r>
      <w:r w:rsidRPr="00036097">
        <w:rPr>
          <w:rFonts w:eastAsia="Century Schoolbook"/>
        </w:rPr>
        <w:t>t</w:t>
      </w:r>
      <w:r w:rsidRPr="009F549F">
        <w:rPr>
          <w:rFonts w:eastAsia="Century Schoolbook"/>
        </w:rPr>
        <w:t xml:space="preserve"> tell us, unless we make strong assumptions about how the value changed over time. Furthermore, political optionality dynamics provide additional incentives for waiting in many important policy contexts</w:t>
      </w:r>
      <w:r>
        <w:rPr>
          <w:rFonts w:eastAsia="Century Schoolbook"/>
        </w:rPr>
        <w:t xml:space="preserve">; </w:t>
      </w:r>
      <w:r w:rsidRPr="009F549F">
        <w:rPr>
          <w:rFonts w:eastAsia="Century Schoolbook"/>
        </w:rPr>
        <w:t xml:space="preserve">sophisticated taxpayers may defer tax in the hopes of taking advantage of potential future legal or political changes that are favorable to them, as explained in Gamage </w:t>
      </w:r>
      <w:r w:rsidRPr="00036097">
        <w:rPr>
          <w:rFonts w:eastAsia="Century Schoolbook"/>
        </w:rPr>
        <w:t>&amp;</w:t>
      </w:r>
      <w:r w:rsidRPr="009F549F">
        <w:rPr>
          <w:rFonts w:eastAsia="Century Schoolbook"/>
        </w:rPr>
        <w:t xml:space="preserve"> Brooks, </w:t>
      </w:r>
      <w:r w:rsidRPr="009F549F">
        <w:rPr>
          <w:rFonts w:eastAsia="Century Schoolbook"/>
          <w:i/>
        </w:rPr>
        <w:t>supra</w:t>
      </w:r>
      <w:r w:rsidRPr="009F549F">
        <w:rPr>
          <w:rFonts w:eastAsia="Century Schoolbook"/>
        </w:rPr>
        <w:t xml:space="preserve"> note </w:t>
      </w:r>
      <w:r w:rsidRPr="00036097">
        <w:rPr>
          <w:rFonts w:eastAsia="Century Schoolbook"/>
        </w:rPr>
        <w:fldChar w:fldCharType="begin"/>
      </w:r>
      <w:r w:rsidRPr="00036097">
        <w:rPr>
          <w:rFonts w:eastAsia="Century Schoolbook"/>
        </w:rPr>
        <w:instrText xml:space="preserve"> NOTEREF _Ref115336225 \h  \* MERGEFORMAT </w:instrText>
      </w:r>
      <w:r w:rsidRPr="00036097">
        <w:rPr>
          <w:rFonts w:eastAsia="Century Schoolbook"/>
        </w:rPr>
      </w:r>
      <w:r w:rsidRPr="00036097">
        <w:rPr>
          <w:rFonts w:eastAsia="Century Schoolbook"/>
        </w:rPr>
        <w:fldChar w:fldCharType="separate"/>
      </w:r>
      <w:r>
        <w:rPr>
          <w:rFonts w:eastAsia="Century Schoolbook"/>
        </w:rPr>
        <w:t>6</w:t>
      </w:r>
      <w:r w:rsidRPr="00036097">
        <w:rPr>
          <w:rFonts w:eastAsia="Century Schoolbook"/>
        </w:rPr>
        <w:fldChar w:fldCharType="end"/>
      </w:r>
      <w:r w:rsidRPr="00036097">
        <w:rPr>
          <w:rFonts w:eastAsia="Century Schoolbook"/>
        </w:rPr>
        <w:t>, at 495</w:t>
      </w:r>
      <w:r w:rsidRPr="009F549F">
        <w:rPr>
          <w:rFonts w:eastAsia="Century Schoolbook"/>
        </w:rPr>
        <w:t xml:space="preserve">, and as we discuss further in Part </w:t>
      </w:r>
      <w:r>
        <w:rPr>
          <w:rFonts w:eastAsia="Century Schoolbook"/>
        </w:rPr>
        <w:fldChar w:fldCharType="begin"/>
      </w:r>
      <w:r>
        <w:rPr>
          <w:rFonts w:eastAsia="Century Schoolbook"/>
        </w:rPr>
        <w:instrText xml:space="preserve"> REF _Ref119423793 \h </w:instrText>
      </w:r>
      <w:r>
        <w:rPr>
          <w:rFonts w:eastAsia="Century Schoolbook"/>
        </w:rPr>
      </w:r>
      <w:r>
        <w:rPr>
          <w:rFonts w:eastAsia="Century Schoolbook"/>
        </w:rPr>
        <w:fldChar w:fldCharType="separate"/>
      </w:r>
      <w:r w:rsidRPr="002B7D8E">
        <w:rPr>
          <w:smallCaps/>
        </w:rPr>
        <w:t>II. Partial Solutions to the Valuation Challenge</w:t>
      </w:r>
      <w:r>
        <w:rPr>
          <w:rFonts w:eastAsia="Century Schoolbook"/>
        </w:rPr>
        <w:fldChar w:fldCharType="end"/>
      </w:r>
      <w:r w:rsidRPr="00036097">
        <w:rPr>
          <w:rFonts w:eastAsia="Century Schoolbook"/>
        </w:rPr>
        <w:t>.</w:t>
      </w:r>
    </w:p>
  </w:footnote>
  <w:footnote w:id="28">
    <w:p w14:paraId="2764F68A" w14:textId="5F891566" w:rsidR="006E30B5" w:rsidRPr="009F549F" w:rsidRDefault="006E30B5">
      <w:pPr>
        <w:rPr>
          <w:rFonts w:eastAsia="Century Schoolbook"/>
        </w:rPr>
      </w:pPr>
      <w:r w:rsidRPr="009F549F">
        <w:rPr>
          <w:vertAlign w:val="superscript"/>
        </w:rPr>
        <w:footnoteRef/>
      </w:r>
      <w:r w:rsidRPr="009F549F">
        <w:rPr>
          <w:rFonts w:eastAsia="Century Schoolbook"/>
        </w:rPr>
        <w:t xml:space="preserve"> Suppose </w:t>
      </w:r>
      <w:proofErr w:type="spellStart"/>
      <w:r w:rsidRPr="009F549F">
        <w:rPr>
          <w:rFonts w:eastAsia="Century Schoolbook"/>
        </w:rPr>
        <w:t>Avi</w:t>
      </w:r>
      <w:proofErr w:type="spellEnd"/>
      <w:r w:rsidRPr="009F549F">
        <w:rPr>
          <w:rFonts w:eastAsia="Century Schoolbook"/>
        </w:rPr>
        <w:t xml:space="preserve"> owns a small business that he originally purchased for $100 million, and with its current value uncertain and difficult to determine. </w:t>
      </w:r>
      <w:r w:rsidRPr="009F549F">
        <w:rPr>
          <w:rFonts w:eastAsia="Century Schoolbook"/>
        </w:rPr>
        <w:t xml:space="preserve">Suppose further that there is a </w:t>
      </w:r>
      <w:r>
        <w:rPr>
          <w:rFonts w:eastAsia="Century Schoolbook"/>
        </w:rPr>
        <w:t>1</w:t>
      </w:r>
      <w:r w:rsidRPr="00036097">
        <w:rPr>
          <w:rFonts w:eastAsia="Century Schoolbook"/>
        </w:rPr>
        <w:t xml:space="preserve"> percent</w:t>
      </w:r>
      <w:r w:rsidRPr="009F549F">
        <w:rPr>
          <w:rFonts w:eastAsia="Century Schoolbook"/>
        </w:rPr>
        <w:t xml:space="preserve"> annual wealth tax, collected using the ULTRA mechanism. For 2021, </w:t>
      </w:r>
      <w:proofErr w:type="spellStart"/>
      <w:r w:rsidRPr="009F549F">
        <w:rPr>
          <w:rFonts w:eastAsia="Century Schoolbook"/>
        </w:rPr>
        <w:t>Avi</w:t>
      </w:r>
      <w:proofErr w:type="spellEnd"/>
      <w:r w:rsidRPr="009F549F">
        <w:rPr>
          <w:rFonts w:eastAsia="Century Schoolbook"/>
        </w:rPr>
        <w:t xml:space="preserve"> can pay the tax on his business by granting the government a </w:t>
      </w:r>
      <w:r>
        <w:rPr>
          <w:rFonts w:eastAsia="Century Schoolbook"/>
        </w:rPr>
        <w:t>1</w:t>
      </w:r>
      <w:r w:rsidRPr="00036097">
        <w:rPr>
          <w:rFonts w:eastAsia="Century Schoolbook"/>
        </w:rPr>
        <w:t xml:space="preserve"> percent</w:t>
      </w:r>
      <w:r w:rsidRPr="009F549F">
        <w:rPr>
          <w:rFonts w:eastAsia="Century Schoolbook"/>
        </w:rPr>
        <w:t xml:space="preserve"> ULTRA. If he later sells the business in 2025 for $200 million</w:t>
      </w:r>
      <w:r w:rsidRPr="00036097">
        <w:rPr>
          <w:rFonts w:eastAsia="Century Schoolbook"/>
        </w:rPr>
        <w:t>—</w:t>
      </w:r>
      <w:r w:rsidRPr="009F549F">
        <w:rPr>
          <w:rFonts w:eastAsia="Century Schoolbook"/>
        </w:rPr>
        <w:t>and assuming no further ULTRA claims are added in subsequent years</w:t>
      </w:r>
      <w:r w:rsidRPr="00036097">
        <w:rPr>
          <w:rFonts w:eastAsia="Century Schoolbook"/>
        </w:rPr>
        <w:t>—</w:t>
      </w:r>
      <w:r w:rsidRPr="009F549F">
        <w:rPr>
          <w:rFonts w:eastAsia="Century Schoolbook"/>
        </w:rPr>
        <w:t xml:space="preserve">the government will receive </w:t>
      </w:r>
      <w:r>
        <w:rPr>
          <w:rFonts w:eastAsia="Century Schoolbook"/>
        </w:rPr>
        <w:t>1</w:t>
      </w:r>
      <w:r w:rsidRPr="00036097">
        <w:rPr>
          <w:rFonts w:eastAsia="Century Schoolbook"/>
        </w:rPr>
        <w:t xml:space="preserve"> percent</w:t>
      </w:r>
      <w:r w:rsidRPr="009F549F">
        <w:rPr>
          <w:rFonts w:eastAsia="Century Schoolbook"/>
        </w:rPr>
        <w:t xml:space="preserve"> of the sale proceeds, or $2 million</w:t>
      </w:r>
      <w:r>
        <w:rPr>
          <w:rFonts w:ascii="Century Schoolbook" w:eastAsia="Century Schoolbook" w:hAnsi="Century Schoolbook" w:cs="Century Schoolbook"/>
          <w:sz w:val="20"/>
          <w:szCs w:val="20"/>
        </w:rPr>
        <w:t xml:space="preserve">. </w:t>
      </w:r>
      <w:r w:rsidRPr="007D6E99">
        <w:rPr>
          <w:rFonts w:ascii="Century Schoolbook" w:eastAsia="Century Schoolbook" w:hAnsi="Century Schoolbook" w:cs="Century Schoolbook"/>
          <w:sz w:val="20"/>
          <w:szCs w:val="20"/>
        </w:rPr>
        <w:t xml:space="preserve"> </w:t>
      </w:r>
    </w:p>
  </w:footnote>
  <w:footnote w:id="29">
    <w:p w14:paraId="6752E18D" w14:textId="2906C219" w:rsidR="006E30B5" w:rsidRPr="009F549F" w:rsidRDefault="006E30B5">
      <w:pPr>
        <w:pBdr>
          <w:top w:val="nil"/>
          <w:left w:val="nil"/>
          <w:bottom w:val="nil"/>
          <w:right w:val="nil"/>
          <w:between w:val="nil"/>
        </w:pBdr>
        <w:rPr>
          <w:rFonts w:eastAsia="Century Schoolbook"/>
          <w:color w:val="000000"/>
        </w:rPr>
      </w:pPr>
      <w:r w:rsidRPr="009F549F">
        <w:rPr>
          <w:vertAlign w:val="superscript"/>
        </w:rPr>
        <w:footnoteRef/>
      </w:r>
      <w:r w:rsidRPr="009F549F">
        <w:rPr>
          <w:rFonts w:eastAsia="Century Schoolbook"/>
          <w:color w:val="000000"/>
        </w:rPr>
        <w:t xml:space="preserve"> Jeremy Bearer-Friend, </w:t>
      </w:r>
      <w:r w:rsidRPr="009F549F">
        <w:rPr>
          <w:rFonts w:eastAsia="Century Schoolbook"/>
          <w:i/>
          <w:color w:val="000000"/>
        </w:rPr>
        <w:t>Tax Without Cash</w:t>
      </w:r>
      <w:r w:rsidRPr="009F549F">
        <w:rPr>
          <w:rFonts w:eastAsia="Century Schoolbook"/>
          <w:color w:val="000000"/>
        </w:rPr>
        <w:t xml:space="preserve">, 106 </w:t>
      </w:r>
      <w:r w:rsidRPr="009F549F">
        <w:rPr>
          <w:rFonts w:eastAsia="Century Schoolbook"/>
          <w:smallCaps/>
          <w:color w:val="000000"/>
        </w:rPr>
        <w:t>Minn. L. Rev</w:t>
      </w:r>
      <w:r w:rsidRPr="009F549F">
        <w:rPr>
          <w:rFonts w:eastAsia="Century Schoolbook"/>
          <w:color w:val="000000"/>
        </w:rPr>
        <w:t xml:space="preserve">. </w:t>
      </w:r>
      <w:r w:rsidRPr="009F549F">
        <w:rPr>
          <w:rFonts w:eastAsia="Century Schoolbook"/>
          <w:color w:val="000000"/>
        </w:rPr>
        <w:t xml:space="preserve">953, </w:t>
      </w:r>
      <w:r w:rsidRPr="00036097">
        <w:rPr>
          <w:rFonts w:eastAsia="Century Schoolbook"/>
          <w:color w:val="000000"/>
        </w:rPr>
        <w:t>991–94</w:t>
      </w:r>
      <w:r w:rsidRPr="009F549F">
        <w:rPr>
          <w:rFonts w:eastAsia="Century Schoolbook"/>
          <w:color w:val="000000"/>
        </w:rPr>
        <w:t xml:space="preserve"> (2021). </w:t>
      </w:r>
    </w:p>
  </w:footnote>
  <w:footnote w:id="30">
    <w:p w14:paraId="71A3C642" w14:textId="55057F4C" w:rsidR="006E30B5" w:rsidRPr="009F549F" w:rsidRDefault="006E30B5">
      <w:pPr>
        <w:pBdr>
          <w:top w:val="nil"/>
          <w:left w:val="nil"/>
          <w:bottom w:val="nil"/>
          <w:right w:val="nil"/>
          <w:between w:val="nil"/>
        </w:pBdr>
        <w:rPr>
          <w:rFonts w:eastAsia="Century Schoolbook"/>
          <w:color w:val="000000"/>
        </w:rPr>
      </w:pPr>
      <w:r w:rsidRPr="009F549F">
        <w:rPr>
          <w:vertAlign w:val="superscript"/>
        </w:rPr>
        <w:footnoteRef/>
      </w:r>
      <w:r w:rsidRPr="009F549F">
        <w:rPr>
          <w:rFonts w:eastAsia="Century Schoolbook"/>
          <w:color w:val="000000"/>
        </w:rPr>
        <w:t xml:space="preserve"> </w:t>
      </w:r>
      <w:r w:rsidRPr="009F549F">
        <w:rPr>
          <w:rFonts w:eastAsia="Century Schoolbook"/>
          <w:i/>
          <w:color w:val="000000"/>
        </w:rPr>
        <w:t xml:space="preserve">See </w:t>
      </w:r>
      <w:r w:rsidRPr="007D6E99">
        <w:rPr>
          <w:rFonts w:ascii="Century Schoolbook" w:eastAsia="Century Schoolbook" w:hAnsi="Century Schoolbook" w:cs="Century Schoolbook"/>
          <w:color w:val="000000"/>
          <w:sz w:val="20"/>
          <w:szCs w:val="20"/>
        </w:rPr>
        <w:t xml:space="preserve">Part III.C., </w:t>
      </w:r>
      <w:r w:rsidRPr="009F549F">
        <w:rPr>
          <w:rFonts w:eastAsia="Century Schoolbook"/>
          <w:i/>
          <w:color w:val="000000"/>
        </w:rPr>
        <w:t>infra</w:t>
      </w:r>
      <w:r w:rsidRPr="00036097">
        <w:rPr>
          <w:rFonts w:eastAsia="Century Schoolbook"/>
          <w:color w:val="000000"/>
        </w:rPr>
        <w:t xml:space="preserve"> </w:t>
      </w:r>
      <w:r w:rsidRPr="00C80569">
        <w:rPr>
          <w:rFonts w:eastAsia="Century Schoolbook"/>
          <w:color w:val="000000"/>
        </w:rPr>
        <w:fldChar w:fldCharType="begin"/>
      </w:r>
      <w:r w:rsidRPr="00C80569">
        <w:rPr>
          <w:rFonts w:eastAsia="Century Schoolbook"/>
          <w:color w:val="000000"/>
        </w:rPr>
        <w:instrText xml:space="preserve"> REF _Ref119423928 \h </w:instrText>
      </w:r>
      <w:r w:rsidRPr="000E4D89">
        <w:rPr>
          <w:rFonts w:eastAsia="Century Schoolbook"/>
          <w:color w:val="000000"/>
        </w:rPr>
        <w:instrText xml:space="preserve"> \* MERGEFORMAT </w:instrText>
      </w:r>
      <w:r w:rsidRPr="00C80569">
        <w:rPr>
          <w:rFonts w:eastAsia="Century Schoolbook"/>
          <w:color w:val="000000"/>
        </w:rPr>
      </w:r>
      <w:r w:rsidRPr="00C80569">
        <w:rPr>
          <w:rFonts w:eastAsia="Century Schoolbook"/>
          <w:color w:val="000000"/>
        </w:rPr>
        <w:fldChar w:fldCharType="separate"/>
      </w:r>
      <w:r w:rsidRPr="009F549F">
        <w:t xml:space="preserve">E. </w:t>
      </w:r>
      <w:r w:rsidRPr="002B7D8E">
        <w:rPr>
          <w:i/>
        </w:rPr>
        <w:t>Comparing the ULTRA Solution to Alternatives</w:t>
      </w:r>
      <w:r w:rsidRPr="00C80569">
        <w:rPr>
          <w:rFonts w:eastAsia="Century Schoolbook"/>
          <w:color w:val="000000"/>
        </w:rPr>
        <w:fldChar w:fldCharType="end"/>
      </w:r>
      <w:r w:rsidRPr="00C80569">
        <w:rPr>
          <w:rFonts w:eastAsia="Century Schoolbook"/>
          <w:color w:val="000000"/>
        </w:rPr>
        <w:t>.</w:t>
      </w:r>
    </w:p>
  </w:footnote>
  <w:footnote w:id="31">
    <w:p w14:paraId="32F9C704" w14:textId="045A045D" w:rsidR="006E30B5" w:rsidRPr="009F549F" w:rsidRDefault="006E30B5">
      <w:pPr>
        <w:pBdr>
          <w:top w:val="nil"/>
          <w:left w:val="nil"/>
          <w:bottom w:val="nil"/>
          <w:right w:val="nil"/>
          <w:between w:val="nil"/>
        </w:pBdr>
        <w:rPr>
          <w:rFonts w:eastAsia="Century Schoolbook"/>
          <w:b/>
          <w:color w:val="000000"/>
        </w:rPr>
      </w:pPr>
      <w:r w:rsidRPr="009F549F">
        <w:rPr>
          <w:vertAlign w:val="superscript"/>
        </w:rPr>
        <w:footnoteRef/>
      </w:r>
      <w:r w:rsidRPr="009F549F">
        <w:rPr>
          <w:rFonts w:eastAsia="Century Schoolbook"/>
          <w:color w:val="000000"/>
        </w:rPr>
        <w:t xml:space="preserve"> </w:t>
      </w:r>
      <w:proofErr w:type="spellStart"/>
      <w:r w:rsidRPr="00036097">
        <w:rPr>
          <w:rFonts w:eastAsia="Century Schoolbook"/>
          <w:color w:val="000000"/>
        </w:rPr>
        <w:t>Assemb</w:t>
      </w:r>
      <w:proofErr w:type="spellEnd"/>
      <w:r w:rsidRPr="00036097">
        <w:rPr>
          <w:rFonts w:eastAsia="Century Schoolbook"/>
          <w:color w:val="000000"/>
        </w:rPr>
        <w:t>. B.</w:t>
      </w:r>
      <w:r w:rsidRPr="009F549F">
        <w:rPr>
          <w:rFonts w:eastAsia="Century Schoolbook"/>
          <w:color w:val="000000"/>
        </w:rPr>
        <w:t xml:space="preserve"> 310, 2021</w:t>
      </w:r>
      <w:r w:rsidRPr="00036097">
        <w:rPr>
          <w:rFonts w:eastAsia="Century Schoolbook"/>
          <w:color w:val="000000"/>
        </w:rPr>
        <w:t>–</w:t>
      </w:r>
      <w:r w:rsidRPr="009F549F">
        <w:rPr>
          <w:rFonts w:eastAsia="Century Schoolbook"/>
          <w:color w:val="000000"/>
        </w:rPr>
        <w:t xml:space="preserve">22 </w:t>
      </w:r>
      <w:r w:rsidRPr="00036097">
        <w:rPr>
          <w:rFonts w:eastAsia="Century Schoolbook"/>
          <w:color w:val="000000"/>
        </w:rPr>
        <w:t xml:space="preserve"> Reg</w:t>
      </w:r>
      <w:r w:rsidRPr="009F549F">
        <w:rPr>
          <w:rFonts w:eastAsia="Century Schoolbook"/>
          <w:color w:val="000000"/>
        </w:rPr>
        <w:t xml:space="preserve">. Sess. (Ca. 2021). For a more complete description, see Brian Galle, David Gamage, Emmanuel </w:t>
      </w:r>
      <w:proofErr w:type="spellStart"/>
      <w:r w:rsidRPr="009F549F">
        <w:rPr>
          <w:rFonts w:eastAsia="Century Schoolbook"/>
          <w:color w:val="000000"/>
        </w:rPr>
        <w:t>Saez</w:t>
      </w:r>
      <w:proofErr w:type="spellEnd"/>
      <w:r w:rsidRPr="007D6E99">
        <w:rPr>
          <w:rFonts w:ascii="Century Schoolbook" w:eastAsia="Century Schoolbook" w:hAnsi="Century Schoolbook" w:cs="Century Schoolbook"/>
          <w:color w:val="000000"/>
          <w:sz w:val="20"/>
          <w:szCs w:val="20"/>
        </w:rPr>
        <w:t>,</w:t>
      </w:r>
      <w:r w:rsidRPr="009F549F">
        <w:rPr>
          <w:rFonts w:eastAsia="Century Schoolbook"/>
          <w:color w:val="000000"/>
        </w:rPr>
        <w:t xml:space="preserve"> &amp; Darien </w:t>
      </w:r>
      <w:proofErr w:type="spellStart"/>
      <w:r w:rsidRPr="009F549F">
        <w:rPr>
          <w:rFonts w:eastAsia="Century Schoolbook"/>
          <w:color w:val="000000"/>
        </w:rPr>
        <w:t>Shanske</w:t>
      </w:r>
      <w:proofErr w:type="spellEnd"/>
      <w:r w:rsidRPr="009F549F">
        <w:rPr>
          <w:rFonts w:eastAsia="Century Schoolbook"/>
          <w:color w:val="000000"/>
        </w:rPr>
        <w:t xml:space="preserve">, </w:t>
      </w:r>
      <w:r w:rsidRPr="009F549F">
        <w:rPr>
          <w:rFonts w:eastAsia="Century Schoolbook"/>
          <w:i/>
          <w:color w:val="000000"/>
        </w:rPr>
        <w:t xml:space="preserve">The California Tax on Extreme Wealth (ACA 8 and </w:t>
      </w:r>
      <w:r w:rsidRPr="00DB4E94">
        <w:rPr>
          <w:rFonts w:eastAsia="Century Schoolbook"/>
          <w:i/>
          <w:color w:val="000000"/>
        </w:rPr>
        <w:t>AB</w:t>
      </w:r>
      <w:r>
        <w:rPr>
          <w:rFonts w:eastAsia="Century Schoolbook"/>
          <w:i/>
          <w:color w:val="000000"/>
        </w:rPr>
        <w:t xml:space="preserve"> </w:t>
      </w:r>
      <w:r w:rsidRPr="00DB4E94">
        <w:rPr>
          <w:rFonts w:eastAsia="Century Schoolbook"/>
          <w:i/>
          <w:color w:val="000000"/>
        </w:rPr>
        <w:t>310</w:t>
      </w:r>
      <w:r w:rsidRPr="009F549F">
        <w:rPr>
          <w:rFonts w:eastAsia="Century Schoolbook"/>
          <w:i/>
          <w:color w:val="000000"/>
        </w:rPr>
        <w:t>): Revenue, Economic, and Constitutional Analysis</w:t>
      </w:r>
      <w:r w:rsidRPr="009F549F">
        <w:rPr>
          <w:rFonts w:eastAsia="Century Schoolbook"/>
          <w:color w:val="000000"/>
        </w:rPr>
        <w:t>, https://ssrn.com/abstract</w:t>
      </w:r>
      <w:r>
        <w:rPr>
          <w:rFonts w:eastAsia="Century Schoolbook"/>
          <w:color w:val="000000"/>
        </w:rPr>
        <w:br/>
      </w:r>
      <w:r w:rsidRPr="009F549F">
        <w:rPr>
          <w:rFonts w:eastAsia="Century Schoolbook"/>
          <w:color w:val="000000"/>
        </w:rPr>
        <w:t>_id=3924524</w:t>
      </w:r>
      <w:r w:rsidRPr="00036097">
        <w:rPr>
          <w:rFonts w:eastAsia="Century Schoolbook"/>
          <w:color w:val="000000"/>
        </w:rPr>
        <w:t xml:space="preserve"> [https://perma.cc/Y4AL-5EBZ]. </w:t>
      </w:r>
    </w:p>
  </w:footnote>
  <w:footnote w:id="32">
    <w:p w14:paraId="39181D4F" w14:textId="23E4EF9E" w:rsidR="006E30B5" w:rsidRPr="009F549F" w:rsidRDefault="006E30B5">
      <w:pPr>
        <w:pStyle w:val="FootnoteText"/>
        <w:rPr>
          <w:rFonts w:ascii="Times New Roman" w:hAnsi="Times New Roman"/>
          <w:b/>
          <w:sz w:val="24"/>
          <w:highlight w:val="yellow"/>
        </w:rPr>
      </w:pPr>
      <w:r w:rsidRPr="009F549F">
        <w:rPr>
          <w:rStyle w:val="FootnoteReference"/>
          <w:rFonts w:ascii="Times New Roman" w:hAnsi="Times New Roman"/>
          <w:sz w:val="24"/>
        </w:rPr>
        <w:footnoteRef/>
      </w:r>
      <w:r w:rsidRPr="009F549F">
        <w:rPr>
          <w:rFonts w:ascii="Times New Roman" w:hAnsi="Times New Roman"/>
          <w:sz w:val="24"/>
        </w:rPr>
        <w:t xml:space="preserve"> For legislative text, see </w:t>
      </w:r>
      <w:r w:rsidRPr="00B54FDE">
        <w:rPr>
          <w:rFonts w:ascii="Times New Roman" w:hAnsi="Times New Roman" w:cs="Times New Roman"/>
          <w:sz w:val="24"/>
          <w:szCs w:val="24"/>
        </w:rPr>
        <w:t>H.R. 8558, 117th Cong. (2022);</w:t>
      </w:r>
      <w:r w:rsidRPr="009F549F">
        <w:rPr>
          <w:rFonts w:ascii="Times New Roman" w:hAnsi="Times New Roman"/>
          <w:sz w:val="24"/>
        </w:rPr>
        <w:t xml:space="preserve"> for the congressional fact sheet, see </w:t>
      </w:r>
      <w:r w:rsidRPr="00B54FDE">
        <w:rPr>
          <w:rFonts w:ascii="Times New Roman" w:hAnsi="Times New Roman" w:cs="Times New Roman"/>
          <w:i/>
          <w:iCs/>
          <w:sz w:val="24"/>
          <w:szCs w:val="24"/>
        </w:rPr>
        <w:t>Billionaire Minimum Income Tax</w:t>
      </w:r>
      <w:r w:rsidRPr="00B54FDE">
        <w:rPr>
          <w:rFonts w:ascii="Times New Roman" w:hAnsi="Times New Roman" w:cs="Times New Roman"/>
          <w:sz w:val="24"/>
          <w:szCs w:val="24"/>
        </w:rPr>
        <w:t>, https://cohen.house.gov/sites/evo</w:t>
      </w:r>
      <w:r>
        <w:rPr>
          <w:rFonts w:ascii="Times New Roman" w:hAnsi="Times New Roman" w:cs="Times New Roman"/>
          <w:sz w:val="24"/>
          <w:szCs w:val="24"/>
        </w:rPr>
        <w:br/>
      </w:r>
      <w:r w:rsidRPr="00B54FDE">
        <w:rPr>
          <w:rFonts w:ascii="Times New Roman" w:hAnsi="Times New Roman" w:cs="Times New Roman"/>
          <w:sz w:val="24"/>
          <w:szCs w:val="24"/>
        </w:rPr>
        <w:t>-subsites/cohen-evo.house.gov/files/BMIT%20One%20Pager.pdf [</w:t>
      </w:r>
      <w:r w:rsidRPr="00036097">
        <w:rPr>
          <w:rFonts w:ascii="Times New Roman" w:hAnsi="Times New Roman" w:cs="Times New Roman"/>
          <w:sz w:val="24"/>
          <w:szCs w:val="24"/>
        </w:rPr>
        <w:t>https://perma.cc/6HAC-CHTL]</w:t>
      </w:r>
      <w:r w:rsidRPr="00B54FDE">
        <w:rPr>
          <w:rFonts w:ascii="Times New Roman" w:hAnsi="Times New Roman" w:cs="Times New Roman"/>
          <w:sz w:val="24"/>
          <w:szCs w:val="24"/>
        </w:rPr>
        <w:t>;</w:t>
      </w:r>
      <w:r w:rsidRPr="009F549F">
        <w:rPr>
          <w:rFonts w:ascii="Times New Roman" w:hAnsi="Times New Roman"/>
          <w:sz w:val="24"/>
        </w:rPr>
        <w:t xml:space="preserve"> for the </w:t>
      </w:r>
      <w:r w:rsidRPr="009F549F">
        <w:rPr>
          <w:rFonts w:ascii="Times New Roman" w:hAnsi="Times New Roman"/>
          <w:sz w:val="24"/>
          <w:lang w:val="en-US"/>
        </w:rPr>
        <w:t xml:space="preserve">section-by-section summary, see </w:t>
      </w:r>
      <w:hyperlink r:id="rId1" w:history="1">
        <w:r w:rsidRPr="00C64A8B">
          <w:rPr>
            <w:rStyle w:val="Hyperlink"/>
            <w:rFonts w:ascii="Century Schoolbook" w:hAnsi="Century Schoolbook"/>
            <w:lang w:val="en-US"/>
          </w:rPr>
          <w:t>https://cohen.house.gov/sites/evo-subsites/cohen-evo.house.gov/files/BMIT%20Section-By-Section.pdf</w:t>
        </w:r>
      </w:hyperlink>
      <w:r w:rsidRPr="00B54FDE">
        <w:rPr>
          <w:rFonts w:ascii="Times New Roman" w:hAnsi="Times New Roman" w:cs="Times New Roman"/>
          <w:i/>
          <w:iCs/>
          <w:sz w:val="24"/>
          <w:szCs w:val="24"/>
          <w:lang w:val="en-US"/>
        </w:rPr>
        <w:t>Section-By-Section: Billionaire Minimum Income Tax Act</w:t>
      </w:r>
      <w:r w:rsidRPr="00B54FDE">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B54FDE">
        <w:rPr>
          <w:rFonts w:ascii="Times New Roman" w:hAnsi="Times New Roman" w:cs="Times New Roman"/>
          <w:sz w:val="24"/>
          <w:szCs w:val="24"/>
          <w:lang w:val="en-US"/>
        </w:rPr>
        <w:t>https://cohen.house.gov/sites/</w:t>
      </w:r>
      <w:r>
        <w:rPr>
          <w:rFonts w:ascii="Times New Roman" w:hAnsi="Times New Roman" w:cs="Times New Roman"/>
          <w:sz w:val="24"/>
          <w:szCs w:val="24"/>
          <w:lang w:val="en-US"/>
        </w:rPr>
        <w:br/>
      </w:r>
      <w:r w:rsidRPr="00B54FDE">
        <w:rPr>
          <w:rFonts w:ascii="Times New Roman" w:hAnsi="Times New Roman" w:cs="Times New Roman"/>
          <w:sz w:val="24"/>
          <w:szCs w:val="24"/>
          <w:lang w:val="en-US"/>
        </w:rPr>
        <w:t>evo-subsites/cohen-evo.house.gov/files/BMIT%20Section-By-Section.pdf [</w:t>
      </w:r>
      <w:r w:rsidRPr="00036097">
        <w:rPr>
          <w:rFonts w:ascii="Times New Roman" w:hAnsi="Times New Roman" w:cs="Times New Roman"/>
          <w:sz w:val="24"/>
          <w:szCs w:val="24"/>
          <w:lang w:val="en-US"/>
        </w:rPr>
        <w:t>https://perma.cc/93ZU-WS9B]</w:t>
      </w:r>
      <w:r w:rsidRPr="00B54FDE">
        <w:rPr>
          <w:rFonts w:ascii="Times New Roman" w:hAnsi="Times New Roman" w:cs="Times New Roman"/>
          <w:sz w:val="24"/>
          <w:szCs w:val="24"/>
          <w:lang w:val="en-US"/>
        </w:rPr>
        <w:t>.</w:t>
      </w:r>
      <w:r w:rsidRPr="009F549F">
        <w:rPr>
          <w:rFonts w:ascii="Times New Roman" w:hAnsi="Times New Roman"/>
          <w:sz w:val="24"/>
          <w:lang w:val="en-US"/>
        </w:rPr>
        <w:t xml:space="preserve"> </w:t>
      </w:r>
    </w:p>
  </w:footnote>
  <w:footnote w:id="33">
    <w:p w14:paraId="3354B3CE" w14:textId="20C93992" w:rsidR="006E30B5" w:rsidRPr="009F549F" w:rsidRDefault="006E30B5">
      <w:pPr>
        <w:pBdr>
          <w:top w:val="nil"/>
          <w:left w:val="nil"/>
          <w:bottom w:val="nil"/>
          <w:right w:val="nil"/>
          <w:between w:val="nil"/>
        </w:pBdr>
        <w:rPr>
          <w:rFonts w:eastAsia="Century Schoolbook"/>
          <w:color w:val="000000"/>
        </w:rPr>
      </w:pPr>
      <w:r w:rsidRPr="009F549F">
        <w:rPr>
          <w:vertAlign w:val="superscript"/>
        </w:rPr>
        <w:footnoteRef/>
      </w:r>
      <w:r w:rsidRPr="009F549F">
        <w:rPr>
          <w:rFonts w:eastAsia="Century Schoolbook"/>
          <w:color w:val="000000"/>
        </w:rPr>
        <w:t xml:space="preserve"> Victor Fleischer, </w:t>
      </w:r>
      <w:r w:rsidRPr="009F549F">
        <w:rPr>
          <w:rFonts w:eastAsia="Century Schoolbook"/>
          <w:i/>
          <w:color w:val="000000"/>
        </w:rPr>
        <w:t>Two and Twenty: Taxing Partnership Profits in Private Equity Funds</w:t>
      </w:r>
      <w:r w:rsidRPr="009F549F">
        <w:rPr>
          <w:rFonts w:eastAsia="Century Schoolbook"/>
          <w:color w:val="000000"/>
        </w:rPr>
        <w:t xml:space="preserve">, 83 N.Y.U. L. </w:t>
      </w:r>
      <w:r w:rsidRPr="009F549F">
        <w:rPr>
          <w:rFonts w:eastAsia="Century Schoolbook"/>
          <w:smallCaps/>
          <w:color w:val="000000"/>
        </w:rPr>
        <w:t>Rev</w:t>
      </w:r>
      <w:r w:rsidRPr="009F549F">
        <w:rPr>
          <w:rFonts w:eastAsia="Century Schoolbook"/>
          <w:color w:val="000000"/>
        </w:rPr>
        <w:t xml:space="preserve">. </w:t>
      </w:r>
      <w:r w:rsidRPr="009F549F">
        <w:rPr>
          <w:rFonts w:eastAsia="Century Schoolbook"/>
          <w:color w:val="000000"/>
        </w:rPr>
        <w:t xml:space="preserve">1, </w:t>
      </w:r>
      <w:r w:rsidRPr="00036097">
        <w:rPr>
          <w:rFonts w:eastAsia="Century Schoolbook"/>
          <w:color w:val="000000"/>
        </w:rPr>
        <w:t>3–4</w:t>
      </w:r>
      <w:r w:rsidRPr="009F549F">
        <w:rPr>
          <w:rFonts w:eastAsia="Century Schoolbook"/>
          <w:color w:val="000000"/>
        </w:rPr>
        <w:t xml:space="preserve"> (2008).</w:t>
      </w:r>
    </w:p>
  </w:footnote>
  <w:footnote w:id="34">
    <w:p w14:paraId="5382A706" w14:textId="77777777" w:rsidR="006E30B5" w:rsidRPr="009F549F" w:rsidRDefault="006E30B5">
      <w:pPr>
        <w:pBdr>
          <w:top w:val="nil"/>
          <w:left w:val="nil"/>
          <w:bottom w:val="nil"/>
          <w:right w:val="nil"/>
          <w:between w:val="nil"/>
        </w:pBdr>
        <w:rPr>
          <w:rFonts w:eastAsia="Century Schoolbook"/>
          <w:color w:val="000000"/>
        </w:rPr>
      </w:pPr>
      <w:r w:rsidRPr="009F549F">
        <w:rPr>
          <w:vertAlign w:val="superscript"/>
        </w:rPr>
        <w:footnoteRef/>
      </w:r>
      <w:r w:rsidRPr="009F549F">
        <w:rPr>
          <w:rFonts w:eastAsia="Century Schoolbook"/>
          <w:color w:val="000000"/>
        </w:rPr>
        <w:t xml:space="preserve"> </w:t>
      </w:r>
      <w:r w:rsidRPr="009F549F">
        <w:rPr>
          <w:rFonts w:eastAsia="Century Schoolbook"/>
          <w:i/>
          <w:color w:val="000000"/>
        </w:rPr>
        <w:t>Id.</w:t>
      </w:r>
      <w:r w:rsidRPr="009F549F">
        <w:rPr>
          <w:rFonts w:eastAsia="Century Schoolbook"/>
          <w:color w:val="000000"/>
        </w:rPr>
        <w:t xml:space="preserve"> at 12.</w:t>
      </w:r>
    </w:p>
  </w:footnote>
  <w:footnote w:id="35">
    <w:p w14:paraId="564E6C11" w14:textId="24F345E0" w:rsidR="006E30B5" w:rsidRPr="009F549F" w:rsidRDefault="006E30B5">
      <w:pPr>
        <w:rPr>
          <w:rFonts w:eastAsia="Century Schoolbook"/>
          <w:b/>
        </w:rPr>
      </w:pPr>
      <w:r w:rsidRPr="009F549F">
        <w:rPr>
          <w:vertAlign w:val="superscript"/>
        </w:rPr>
        <w:footnoteRef/>
      </w:r>
      <w:r w:rsidRPr="009F549F">
        <w:rPr>
          <w:rFonts w:eastAsia="Century Schoolbook"/>
        </w:rPr>
        <w:t xml:space="preserve"> David </w:t>
      </w:r>
      <w:r w:rsidRPr="00036097">
        <w:rPr>
          <w:rFonts w:eastAsia="Century Schoolbook"/>
        </w:rPr>
        <w:t xml:space="preserve">A. </w:t>
      </w:r>
      <w:proofErr w:type="spellStart"/>
      <w:r w:rsidRPr="009F549F">
        <w:rPr>
          <w:rFonts w:eastAsia="Century Schoolbook"/>
        </w:rPr>
        <w:t>Weisbach</w:t>
      </w:r>
      <w:proofErr w:type="spellEnd"/>
      <w:r w:rsidRPr="009F549F">
        <w:rPr>
          <w:rFonts w:eastAsia="Century Schoolbook"/>
        </w:rPr>
        <w:t xml:space="preserve">, </w:t>
      </w:r>
      <w:r w:rsidRPr="009F549F">
        <w:rPr>
          <w:rFonts w:eastAsia="Century Schoolbook"/>
          <w:i/>
        </w:rPr>
        <w:t>The (Non)Taxation of Risk</w:t>
      </w:r>
      <w:r w:rsidRPr="009F549F">
        <w:rPr>
          <w:rFonts w:eastAsia="Century Schoolbook"/>
        </w:rPr>
        <w:t xml:space="preserve">, 58 </w:t>
      </w:r>
      <w:r w:rsidRPr="009F549F">
        <w:rPr>
          <w:rFonts w:eastAsia="Century Schoolbook"/>
          <w:smallCaps/>
        </w:rPr>
        <w:t>Tax L. Rev</w:t>
      </w:r>
      <w:r w:rsidRPr="009F549F">
        <w:rPr>
          <w:rFonts w:eastAsia="Century Schoolbook"/>
        </w:rPr>
        <w:t>. 1, 1 (2004).</w:t>
      </w:r>
      <w:r w:rsidRPr="00036097">
        <w:rPr>
          <w:rFonts w:eastAsia="Century Schoolbook"/>
        </w:rPr>
        <w:t xml:space="preserve"> </w:t>
      </w:r>
    </w:p>
  </w:footnote>
  <w:footnote w:id="36">
    <w:p w14:paraId="1994AEAE" w14:textId="1CD1AA69" w:rsidR="006E30B5" w:rsidRPr="009F549F" w:rsidRDefault="006E30B5">
      <w:pPr>
        <w:rPr>
          <w:rFonts w:eastAsia="Century Schoolbook"/>
        </w:rPr>
      </w:pPr>
      <w:r w:rsidRPr="009F549F">
        <w:rPr>
          <w:vertAlign w:val="superscript"/>
        </w:rPr>
        <w:footnoteRef/>
      </w:r>
      <w:r w:rsidRPr="009F549F">
        <w:rPr>
          <w:rFonts w:eastAsia="Century Schoolbook"/>
        </w:rPr>
        <w:t xml:space="preserve"> </w:t>
      </w:r>
      <w:r w:rsidRPr="009F549F">
        <w:rPr>
          <w:rFonts w:eastAsia="Century Schoolbook"/>
          <w:smallCaps/>
        </w:rPr>
        <w:t xml:space="preserve">Henry Simons, Personal Income Taxation </w:t>
      </w:r>
      <w:r w:rsidRPr="009F549F">
        <w:rPr>
          <w:rFonts w:eastAsia="Century Schoolbook"/>
        </w:rPr>
        <w:t>153, 162 (1938).</w:t>
      </w:r>
      <w:r w:rsidRPr="007D6E99">
        <w:rPr>
          <w:rFonts w:ascii="Century Schoolbook" w:eastAsia="Century Schoolbook" w:hAnsi="Century Schoolbook" w:cs="Century Schoolbook"/>
          <w:sz w:val="20"/>
          <w:szCs w:val="20"/>
        </w:rPr>
        <w:t xml:space="preserve"> </w:t>
      </w:r>
    </w:p>
  </w:footnote>
  <w:footnote w:id="37">
    <w:p w14:paraId="77FE0F44" w14:textId="35E1E9E2" w:rsidR="006E30B5" w:rsidRPr="009F549F" w:rsidRDefault="006E30B5">
      <w:pPr>
        <w:rPr>
          <w:rFonts w:eastAsia="Century Schoolbook"/>
        </w:rPr>
      </w:pPr>
      <w:r w:rsidRPr="009F549F">
        <w:rPr>
          <w:vertAlign w:val="superscript"/>
        </w:rPr>
        <w:footnoteRef/>
      </w:r>
      <w:r w:rsidRPr="009F549F">
        <w:rPr>
          <w:rFonts w:eastAsia="Century Schoolbook"/>
        </w:rPr>
        <w:t xml:space="preserve"> Noël B. Cunningham &amp; Deborah H. Schenk,</w:t>
      </w:r>
      <w:r w:rsidRPr="009F549F">
        <w:rPr>
          <w:rFonts w:eastAsia="Century Schoolbook"/>
          <w:i/>
        </w:rPr>
        <w:t xml:space="preserve"> Taxation Without Realization: A “Revolutionary” Approach to Ownership</w:t>
      </w:r>
      <w:r w:rsidRPr="009F549F">
        <w:rPr>
          <w:rFonts w:eastAsia="Century Schoolbook"/>
        </w:rPr>
        <w:t xml:space="preserve">, 47 </w:t>
      </w:r>
      <w:r w:rsidRPr="009F549F">
        <w:rPr>
          <w:rFonts w:eastAsia="Century Schoolbook"/>
          <w:smallCaps/>
        </w:rPr>
        <w:t>Tax L. Rev</w:t>
      </w:r>
      <w:r w:rsidRPr="009F549F">
        <w:rPr>
          <w:rFonts w:eastAsia="Century Schoolbook"/>
        </w:rPr>
        <w:t>. 725, 743 &amp; n.78 (1992).</w:t>
      </w:r>
      <w:r w:rsidRPr="00036097">
        <w:rPr>
          <w:rFonts w:eastAsia="Century Schoolbook"/>
        </w:rPr>
        <w:t xml:space="preserve"> </w:t>
      </w:r>
    </w:p>
  </w:footnote>
  <w:footnote w:id="38">
    <w:p w14:paraId="689C9D89" w14:textId="5EA227C0" w:rsidR="006E30B5" w:rsidRPr="009F549F" w:rsidRDefault="006E30B5">
      <w:pPr>
        <w:rPr>
          <w:rFonts w:eastAsia="Century Schoolbook"/>
        </w:rPr>
      </w:pPr>
      <w:r w:rsidRPr="009F549F">
        <w:rPr>
          <w:vertAlign w:val="superscript"/>
        </w:rPr>
        <w:footnoteRef/>
      </w:r>
      <w:r w:rsidRPr="009F549F">
        <w:rPr>
          <w:rFonts w:eastAsia="Century Schoolbook"/>
        </w:rPr>
        <w:t xml:space="preserve"> </w:t>
      </w:r>
      <w:r w:rsidRPr="00036097">
        <w:rPr>
          <w:rFonts w:eastAsia="Century Schoolbook"/>
          <w:i/>
          <w:iCs/>
        </w:rPr>
        <w:t>See</w:t>
      </w:r>
      <w:r w:rsidRPr="00036097">
        <w:rPr>
          <w:rFonts w:eastAsia="Century Schoolbook"/>
        </w:rPr>
        <w:t xml:space="preserve"> </w:t>
      </w:r>
      <w:r w:rsidRPr="00036097">
        <w:rPr>
          <w:rFonts w:eastAsia="Century Schoolbook"/>
          <w:smallCaps/>
          <w:highlight w:val="white"/>
        </w:rPr>
        <w:t>Dep’t</w:t>
      </w:r>
      <w:r w:rsidRPr="009F549F">
        <w:rPr>
          <w:rFonts w:eastAsia="Century Schoolbook"/>
          <w:smallCaps/>
          <w:highlight w:val="white"/>
        </w:rPr>
        <w:t xml:space="preserve"> of the Treasury, Blueprints for Basic Tax Reform</w:t>
      </w:r>
      <w:r w:rsidRPr="009F549F">
        <w:rPr>
          <w:rFonts w:eastAsia="Century Schoolbook"/>
          <w:highlight w:val="white"/>
        </w:rPr>
        <w:t xml:space="preserve"> 81 (1977</w:t>
      </w:r>
      <w:r w:rsidRPr="00036097">
        <w:rPr>
          <w:rFonts w:eastAsia="Century Schoolbook"/>
          <w:highlight w:val="white"/>
        </w:rPr>
        <w:t xml:space="preserve">); </w:t>
      </w:r>
      <w:r w:rsidRPr="00036097">
        <w:rPr>
          <w:rFonts w:eastAsia="Century Schoolbook"/>
          <w:i/>
          <w:iCs/>
          <w:highlight w:val="white"/>
        </w:rPr>
        <w:t>see</w:t>
      </w:r>
      <w:r w:rsidRPr="009F549F">
        <w:rPr>
          <w:rFonts w:eastAsia="Century Schoolbook"/>
          <w:color w:val="3D3D3D"/>
          <w:highlight w:val="white"/>
        </w:rPr>
        <w:t xml:space="preserve"> </w:t>
      </w:r>
      <w:r w:rsidRPr="009F549F">
        <w:rPr>
          <w:rFonts w:eastAsia="Century Schoolbook"/>
        </w:rPr>
        <w:t xml:space="preserve">David M. </w:t>
      </w:r>
      <w:proofErr w:type="spellStart"/>
      <w:r w:rsidRPr="009F549F">
        <w:rPr>
          <w:rFonts w:eastAsia="Century Schoolbook"/>
        </w:rPr>
        <w:t>Schizer</w:t>
      </w:r>
      <w:proofErr w:type="spellEnd"/>
      <w:r w:rsidRPr="009F549F">
        <w:rPr>
          <w:rFonts w:eastAsia="Century Schoolbook"/>
        </w:rPr>
        <w:t xml:space="preserve">, </w:t>
      </w:r>
      <w:r w:rsidRPr="009F549F">
        <w:rPr>
          <w:rFonts w:eastAsia="Century Schoolbook"/>
          <w:i/>
        </w:rPr>
        <w:t>Realization as Subsidy</w:t>
      </w:r>
      <w:r w:rsidRPr="009F549F">
        <w:rPr>
          <w:rFonts w:eastAsia="Century Schoolbook"/>
        </w:rPr>
        <w:t xml:space="preserve">, 73 N.Y.U. L. </w:t>
      </w:r>
      <w:r w:rsidRPr="009F549F">
        <w:rPr>
          <w:rFonts w:eastAsia="Century Schoolbook"/>
          <w:smallCaps/>
        </w:rPr>
        <w:t>Rev</w:t>
      </w:r>
      <w:r w:rsidRPr="009F549F">
        <w:rPr>
          <w:rFonts w:eastAsia="Century Schoolbook"/>
        </w:rPr>
        <w:t>. 1549, 1594–95 (1998</w:t>
      </w:r>
      <w:r w:rsidRPr="00036097">
        <w:rPr>
          <w:rFonts w:eastAsia="Century Schoolbook"/>
        </w:rPr>
        <w:t xml:space="preserve">). </w:t>
      </w:r>
    </w:p>
  </w:footnote>
  <w:footnote w:id="39">
    <w:p w14:paraId="5B547818" w14:textId="451467B9" w:rsidR="006E30B5" w:rsidRPr="009F549F" w:rsidRDefault="006E30B5">
      <w:pPr>
        <w:rPr>
          <w:rFonts w:eastAsia="Century Schoolbook"/>
        </w:rPr>
      </w:pPr>
      <w:r w:rsidRPr="009F549F">
        <w:rPr>
          <w:vertAlign w:val="superscript"/>
        </w:rPr>
        <w:footnoteRef/>
      </w:r>
      <w:r w:rsidRPr="00036097">
        <w:rPr>
          <w:rFonts w:eastAsia="Century Schoolbook"/>
        </w:rPr>
        <w:t xml:space="preserve"> </w:t>
      </w:r>
      <w:r w:rsidRPr="00036097">
        <w:rPr>
          <w:rFonts w:eastAsia="Century Schoolbook"/>
          <w:i/>
          <w:iCs/>
        </w:rPr>
        <w:t>See</w:t>
      </w:r>
      <w:r w:rsidRPr="009F549F">
        <w:rPr>
          <w:rFonts w:eastAsia="Century Schoolbook"/>
        </w:rPr>
        <w:t xml:space="preserve"> </w:t>
      </w:r>
      <w:r w:rsidRPr="009F549F">
        <w:rPr>
          <w:rFonts w:eastAsia="Century Schoolbook"/>
          <w:smallCaps/>
        </w:rPr>
        <w:t>Dep’t of the Treasury</w:t>
      </w:r>
      <w:r w:rsidRPr="009F549F">
        <w:rPr>
          <w:rFonts w:eastAsia="Century Schoolbook"/>
        </w:rPr>
        <w:t xml:space="preserve">, </w:t>
      </w:r>
      <w:r w:rsidRPr="009F549F">
        <w:rPr>
          <w:rFonts w:eastAsia="Century Schoolbook"/>
          <w:i/>
        </w:rPr>
        <w:t>supra</w:t>
      </w:r>
      <w:r w:rsidRPr="009F549F">
        <w:rPr>
          <w:rFonts w:eastAsia="Century Schoolbook"/>
        </w:rPr>
        <w:t xml:space="preserve"> note </w:t>
      </w:r>
      <w:r w:rsidRPr="00036097">
        <w:rPr>
          <w:rFonts w:eastAsia="Century Schoolbook"/>
        </w:rPr>
        <w:fldChar w:fldCharType="begin"/>
      </w:r>
      <w:r w:rsidRPr="00036097">
        <w:rPr>
          <w:rFonts w:eastAsia="Century Schoolbook"/>
        </w:rPr>
        <w:instrText xml:space="preserve"> NOTEREF _Ref115037095 \h  \* MERGEFORMAT </w:instrText>
      </w:r>
      <w:r w:rsidRPr="00036097">
        <w:rPr>
          <w:rFonts w:eastAsia="Century Schoolbook"/>
        </w:rPr>
      </w:r>
      <w:r w:rsidRPr="00036097">
        <w:rPr>
          <w:rFonts w:eastAsia="Century Schoolbook"/>
        </w:rPr>
        <w:fldChar w:fldCharType="separate"/>
      </w:r>
      <w:r>
        <w:rPr>
          <w:rFonts w:eastAsia="Century Schoolbook"/>
        </w:rPr>
        <w:t>38</w:t>
      </w:r>
      <w:r w:rsidRPr="00036097">
        <w:rPr>
          <w:rFonts w:eastAsia="Century Schoolbook"/>
        </w:rPr>
        <w:fldChar w:fldCharType="end"/>
      </w:r>
      <w:r w:rsidRPr="00036097">
        <w:rPr>
          <w:rFonts w:eastAsia="Century Schoolbook"/>
        </w:rPr>
        <w:t>,</w:t>
      </w:r>
      <w:r w:rsidRPr="009F549F">
        <w:rPr>
          <w:rFonts w:eastAsia="Century Schoolbook"/>
        </w:rPr>
        <w:t xml:space="preserve"> at 81.</w:t>
      </w:r>
    </w:p>
  </w:footnote>
  <w:footnote w:id="40">
    <w:p w14:paraId="52901D10" w14:textId="18BE2C58" w:rsidR="006E30B5" w:rsidRPr="009F549F" w:rsidRDefault="006E30B5">
      <w:pPr>
        <w:rPr>
          <w:rFonts w:eastAsia="Century Schoolbook"/>
        </w:rPr>
      </w:pPr>
      <w:r w:rsidRPr="009F549F">
        <w:rPr>
          <w:vertAlign w:val="superscript"/>
        </w:rPr>
        <w:footnoteRef/>
      </w:r>
      <w:r w:rsidRPr="00036097">
        <w:rPr>
          <w:rFonts w:eastAsia="Century Schoolbook"/>
        </w:rPr>
        <w:t xml:space="preserve"> </w:t>
      </w:r>
      <w:r w:rsidRPr="00182958">
        <w:rPr>
          <w:rFonts w:eastAsia="Century Schoolbook"/>
          <w:i/>
          <w:iCs/>
        </w:rPr>
        <w:t>See</w:t>
      </w:r>
      <w:r w:rsidRPr="009F549F">
        <w:rPr>
          <w:rFonts w:eastAsia="Century Schoolbook"/>
        </w:rPr>
        <w:t xml:space="preserve"> Andrew</w:t>
      </w:r>
      <w:r w:rsidRPr="00036097">
        <w:rPr>
          <w:rFonts w:eastAsia="Century Schoolbook"/>
        </w:rPr>
        <w:t xml:space="preserve"> T.</w:t>
      </w:r>
      <w:r w:rsidRPr="009F549F">
        <w:rPr>
          <w:rFonts w:eastAsia="Century Schoolbook"/>
        </w:rPr>
        <w:t xml:space="preserve"> Hayashi, </w:t>
      </w:r>
      <w:r w:rsidRPr="009F549F">
        <w:rPr>
          <w:rFonts w:eastAsia="Century Schoolbook"/>
          <w:i/>
        </w:rPr>
        <w:t>The Quiet Costs of Taxation: Cash Taxes and Noncash Bases</w:t>
      </w:r>
      <w:r w:rsidRPr="009F549F">
        <w:rPr>
          <w:rFonts w:eastAsia="Century Schoolbook"/>
        </w:rPr>
        <w:t xml:space="preserve">, 71 </w:t>
      </w:r>
      <w:r w:rsidRPr="009F549F">
        <w:rPr>
          <w:rFonts w:eastAsia="Century Schoolbook"/>
          <w:smallCaps/>
        </w:rPr>
        <w:t>Tax L. Rev.</w:t>
      </w:r>
      <w:r w:rsidRPr="009F549F">
        <w:rPr>
          <w:rFonts w:eastAsia="Century Schoolbook"/>
        </w:rPr>
        <w:t xml:space="preserve"> 781, 782, 789–90 (2018); Stewart E. </w:t>
      </w:r>
      <w:proofErr w:type="spellStart"/>
      <w:r w:rsidRPr="009F549F">
        <w:rPr>
          <w:rFonts w:eastAsia="Century Schoolbook"/>
        </w:rPr>
        <w:t>Sterk</w:t>
      </w:r>
      <w:proofErr w:type="spellEnd"/>
      <w:r w:rsidRPr="009F549F">
        <w:rPr>
          <w:rFonts w:eastAsia="Century Schoolbook"/>
        </w:rPr>
        <w:t xml:space="preserve"> &amp; Mitchell L. </w:t>
      </w:r>
      <w:r w:rsidRPr="009F549F">
        <w:rPr>
          <w:rFonts w:eastAsia="Century Schoolbook"/>
        </w:rPr>
        <w:t xml:space="preserve">Engler, </w:t>
      </w:r>
      <w:r w:rsidRPr="009F549F">
        <w:rPr>
          <w:rFonts w:eastAsia="Century Schoolbook"/>
          <w:i/>
        </w:rPr>
        <w:t>Property Tax Reassessment: Who Needs It?</w:t>
      </w:r>
      <w:r w:rsidRPr="009F549F">
        <w:rPr>
          <w:rFonts w:eastAsia="Century Schoolbook"/>
        </w:rPr>
        <w:t xml:space="preserve">, 81 </w:t>
      </w:r>
      <w:r w:rsidRPr="009F549F">
        <w:rPr>
          <w:rFonts w:eastAsia="Century Schoolbook"/>
          <w:smallCaps/>
        </w:rPr>
        <w:t>Notre Dame L. Rev. 1037, 1078 (2006).</w:t>
      </w:r>
    </w:p>
  </w:footnote>
  <w:footnote w:id="41">
    <w:p w14:paraId="7DB7E1AD" w14:textId="26B62CA0" w:rsidR="006E30B5" w:rsidRPr="009F549F" w:rsidRDefault="006E30B5">
      <w:pPr>
        <w:rPr>
          <w:rFonts w:eastAsia="Century Schoolbook"/>
        </w:rPr>
      </w:pPr>
      <w:r w:rsidRPr="009F549F">
        <w:rPr>
          <w:vertAlign w:val="superscript"/>
        </w:rPr>
        <w:footnoteRef/>
      </w:r>
      <w:r w:rsidRPr="00036097">
        <w:rPr>
          <w:rFonts w:eastAsia="Century Schoolbook"/>
        </w:rPr>
        <w:t xml:space="preserve"> </w:t>
      </w:r>
      <w:r w:rsidRPr="009D28E7">
        <w:rPr>
          <w:rFonts w:eastAsia="Century Schoolbook"/>
          <w:i/>
          <w:iCs/>
        </w:rPr>
        <w:t>See</w:t>
      </w:r>
      <w:r w:rsidRPr="009F549F">
        <w:rPr>
          <w:rFonts w:eastAsia="Century Schoolbook"/>
        </w:rPr>
        <w:t xml:space="preserve"> Hayashi, </w:t>
      </w:r>
      <w:r w:rsidRPr="009F549F">
        <w:rPr>
          <w:rFonts w:eastAsia="Century Schoolbook"/>
          <w:i/>
        </w:rPr>
        <w:t>supra</w:t>
      </w:r>
      <w:r w:rsidRPr="009F549F">
        <w:rPr>
          <w:rFonts w:eastAsia="Century Schoolbook"/>
        </w:rPr>
        <w:t xml:space="preserve"> note </w:t>
      </w:r>
      <w:r w:rsidRPr="00036097">
        <w:rPr>
          <w:rFonts w:eastAsia="Century Schoolbook"/>
        </w:rPr>
        <w:fldChar w:fldCharType="begin"/>
      </w:r>
      <w:r w:rsidRPr="00036097">
        <w:rPr>
          <w:rFonts w:eastAsia="Century Schoolbook"/>
        </w:rPr>
        <w:instrText xml:space="preserve"> NOTEREF _Ref115038318 \h  \* MERGEFORMAT </w:instrText>
      </w:r>
      <w:r w:rsidRPr="00036097">
        <w:rPr>
          <w:rFonts w:eastAsia="Century Schoolbook"/>
        </w:rPr>
      </w:r>
      <w:r w:rsidRPr="00036097">
        <w:rPr>
          <w:rFonts w:eastAsia="Century Schoolbook"/>
        </w:rPr>
        <w:fldChar w:fldCharType="separate"/>
      </w:r>
      <w:r>
        <w:rPr>
          <w:rFonts w:eastAsia="Century Schoolbook"/>
        </w:rPr>
        <w:t>40</w:t>
      </w:r>
      <w:r w:rsidRPr="00036097">
        <w:rPr>
          <w:rFonts w:eastAsia="Century Schoolbook"/>
        </w:rPr>
        <w:fldChar w:fldCharType="end"/>
      </w:r>
      <w:r w:rsidRPr="00036097">
        <w:rPr>
          <w:rFonts w:eastAsia="Century Schoolbook"/>
        </w:rPr>
        <w:t>,</w:t>
      </w:r>
      <w:r w:rsidRPr="009F549F">
        <w:rPr>
          <w:rFonts w:eastAsia="Century Schoolbook"/>
        </w:rPr>
        <w:t xml:space="preserve"> at 812–14.</w:t>
      </w:r>
    </w:p>
  </w:footnote>
  <w:footnote w:id="42">
    <w:p w14:paraId="12599526" w14:textId="2F1E20CE" w:rsidR="006E30B5" w:rsidRPr="009F549F" w:rsidRDefault="006E30B5">
      <w:pPr>
        <w:rPr>
          <w:rFonts w:eastAsia="Century Schoolbook"/>
        </w:rPr>
      </w:pPr>
      <w:r w:rsidRPr="009F549F">
        <w:rPr>
          <w:vertAlign w:val="superscript"/>
        </w:rPr>
        <w:footnoteRef/>
      </w:r>
      <w:r w:rsidRPr="009F549F">
        <w:rPr>
          <w:rFonts w:eastAsia="Century Schoolbook"/>
        </w:rPr>
        <w:t xml:space="preserve"> Daniel</w:t>
      </w:r>
      <w:r w:rsidRPr="00036097">
        <w:rPr>
          <w:rFonts w:eastAsia="Century Schoolbook"/>
        </w:rPr>
        <w:t xml:space="preserve"> N.</w:t>
      </w:r>
      <w:r w:rsidRPr="009F549F">
        <w:rPr>
          <w:rFonts w:eastAsia="Century Schoolbook"/>
        </w:rPr>
        <w:t xml:space="preserve"> </w:t>
      </w:r>
      <w:proofErr w:type="spellStart"/>
      <w:r w:rsidRPr="009F549F">
        <w:rPr>
          <w:rFonts w:eastAsia="Century Schoolbook"/>
        </w:rPr>
        <w:t>Shaviro</w:t>
      </w:r>
      <w:proofErr w:type="spellEnd"/>
      <w:r w:rsidRPr="009F549F">
        <w:rPr>
          <w:rFonts w:eastAsia="Century Schoolbook"/>
        </w:rPr>
        <w:t xml:space="preserve">, </w:t>
      </w:r>
      <w:r w:rsidRPr="009F549F">
        <w:rPr>
          <w:rFonts w:eastAsia="Century Schoolbook"/>
          <w:i/>
        </w:rPr>
        <w:t>An Efficiency Analysis of Realization and Recognition Rules Under the Federal Income Tax</w:t>
      </w:r>
      <w:r w:rsidRPr="009F549F">
        <w:rPr>
          <w:rFonts w:eastAsia="Century Schoolbook"/>
        </w:rPr>
        <w:t xml:space="preserve">, 48 </w:t>
      </w:r>
      <w:r w:rsidRPr="009F549F">
        <w:rPr>
          <w:rFonts w:eastAsia="Century Schoolbook"/>
          <w:smallCaps/>
        </w:rPr>
        <w:t>Tax L. Rev</w:t>
      </w:r>
      <w:r w:rsidRPr="009F549F">
        <w:rPr>
          <w:rFonts w:eastAsia="Century Schoolbook"/>
        </w:rPr>
        <w:t>. 1, 12–13 (1992).</w:t>
      </w:r>
    </w:p>
  </w:footnote>
  <w:footnote w:id="43">
    <w:p w14:paraId="11BB8A7B" w14:textId="04B609CB" w:rsidR="006E30B5" w:rsidRPr="009F549F" w:rsidRDefault="006E30B5">
      <w:pPr>
        <w:rPr>
          <w:rFonts w:eastAsia="Century Schoolbook"/>
        </w:rPr>
      </w:pPr>
      <w:r w:rsidRPr="009F549F">
        <w:rPr>
          <w:vertAlign w:val="superscript"/>
        </w:rPr>
        <w:footnoteRef/>
      </w:r>
      <w:r w:rsidRPr="00036097">
        <w:rPr>
          <w:rFonts w:eastAsia="Century Schoolbook"/>
        </w:rPr>
        <w:t xml:space="preserve"> </w:t>
      </w:r>
      <w:r>
        <w:rPr>
          <w:rFonts w:eastAsia="Century Schoolbook"/>
        </w:rPr>
        <w:t xml:space="preserve">See </w:t>
      </w:r>
      <w:r w:rsidRPr="009F549F">
        <w:rPr>
          <w:rFonts w:eastAsia="Century Schoolbook"/>
        </w:rPr>
        <w:t xml:space="preserve">David Elkins, </w:t>
      </w:r>
      <w:r w:rsidRPr="009F549F">
        <w:rPr>
          <w:rFonts w:eastAsia="Century Schoolbook"/>
          <w:i/>
        </w:rPr>
        <w:t>The Myth of Realization</w:t>
      </w:r>
      <w:r w:rsidRPr="009F549F">
        <w:rPr>
          <w:rFonts w:eastAsia="Century Schoolbook"/>
        </w:rPr>
        <w:t>, 10</w:t>
      </w:r>
      <w:r w:rsidRPr="009F549F">
        <w:rPr>
          <w:rFonts w:eastAsia="Century Schoolbook"/>
          <w:smallCaps/>
        </w:rPr>
        <w:t xml:space="preserve"> Fla. Tax Rev. </w:t>
      </w:r>
      <w:r w:rsidRPr="009F549F">
        <w:rPr>
          <w:rFonts w:eastAsia="Century Schoolbook"/>
        </w:rPr>
        <w:t>375, 379 (</w:t>
      </w:r>
      <w:r w:rsidRPr="00036097">
        <w:rPr>
          <w:rFonts w:eastAsia="Century Schoolbook"/>
        </w:rPr>
        <w:t>201</w:t>
      </w:r>
      <w:r w:rsidRPr="00036097" w:rsidDel="00AA4DB3">
        <w:rPr>
          <w:rFonts w:eastAsia="Century Schoolbook"/>
        </w:rPr>
        <w:t>0</w:t>
      </w:r>
      <w:r w:rsidRPr="00036097">
        <w:rPr>
          <w:rFonts w:eastAsia="Century Schoolbook"/>
        </w:rPr>
        <w:t>)</w:t>
      </w:r>
      <w:r w:rsidRPr="009F549F">
        <w:rPr>
          <w:rFonts w:eastAsia="Century Schoolbook"/>
        </w:rPr>
        <w:t xml:space="preserve">; </w:t>
      </w:r>
      <w:proofErr w:type="spellStart"/>
      <w:r w:rsidRPr="009F549F">
        <w:rPr>
          <w:rFonts w:eastAsia="Century Schoolbook"/>
        </w:rPr>
        <w:t>Shaviro</w:t>
      </w:r>
      <w:proofErr w:type="spellEnd"/>
      <w:r w:rsidRPr="009F549F">
        <w:rPr>
          <w:rFonts w:eastAsia="Century Schoolbook"/>
        </w:rPr>
        <w:t xml:space="preserve">, </w:t>
      </w:r>
      <w:r w:rsidRPr="009F549F">
        <w:rPr>
          <w:rFonts w:eastAsia="Century Schoolbook"/>
          <w:i/>
        </w:rPr>
        <w:t>supra</w:t>
      </w:r>
      <w:r w:rsidRPr="009F549F">
        <w:rPr>
          <w:rFonts w:eastAsia="Century Schoolbook"/>
        </w:rPr>
        <w:t xml:space="preserve"> note </w:t>
      </w:r>
      <w:r w:rsidRPr="00036097">
        <w:rPr>
          <w:rFonts w:eastAsia="Century Schoolbook"/>
        </w:rPr>
        <w:fldChar w:fldCharType="begin"/>
      </w:r>
      <w:r w:rsidRPr="00036097">
        <w:rPr>
          <w:rFonts w:eastAsia="Century Schoolbook"/>
        </w:rPr>
        <w:instrText xml:space="preserve"> NOTEREF _Ref115045365 \h  \* MERGEFORMAT </w:instrText>
      </w:r>
      <w:r w:rsidRPr="00036097">
        <w:rPr>
          <w:rFonts w:eastAsia="Century Schoolbook"/>
        </w:rPr>
      </w:r>
      <w:r w:rsidRPr="00036097">
        <w:rPr>
          <w:rFonts w:eastAsia="Century Schoolbook"/>
        </w:rPr>
        <w:fldChar w:fldCharType="separate"/>
      </w:r>
      <w:r>
        <w:rPr>
          <w:rFonts w:eastAsia="Century Schoolbook"/>
        </w:rPr>
        <w:t>42</w:t>
      </w:r>
      <w:r w:rsidRPr="00036097">
        <w:rPr>
          <w:rFonts w:eastAsia="Century Schoolbook"/>
        </w:rPr>
        <w:fldChar w:fldCharType="end"/>
      </w:r>
      <w:r w:rsidRPr="00036097">
        <w:rPr>
          <w:rFonts w:eastAsia="Century Schoolbook"/>
        </w:rPr>
        <w:t>,</w:t>
      </w:r>
      <w:r w:rsidRPr="009F549F">
        <w:rPr>
          <w:rFonts w:eastAsia="Century Schoolbook"/>
        </w:rPr>
        <w:t xml:space="preserve"> at 12–13.</w:t>
      </w:r>
    </w:p>
  </w:footnote>
  <w:footnote w:id="44">
    <w:p w14:paraId="62BC4296" w14:textId="56A263FF" w:rsidR="006E30B5" w:rsidRPr="009F549F" w:rsidRDefault="006E30B5">
      <w:pPr>
        <w:rPr>
          <w:rFonts w:eastAsia="Century Schoolbook"/>
        </w:rPr>
      </w:pPr>
      <w:r w:rsidRPr="009F549F">
        <w:rPr>
          <w:vertAlign w:val="superscript"/>
        </w:rPr>
        <w:footnoteRef/>
      </w:r>
      <w:r w:rsidRPr="00036097">
        <w:rPr>
          <w:rFonts w:eastAsia="Century Schoolbook"/>
        </w:rPr>
        <w:t xml:space="preserve"> </w:t>
      </w:r>
      <w:r w:rsidRPr="008106D6">
        <w:rPr>
          <w:rFonts w:eastAsia="Century Schoolbook"/>
          <w:i/>
          <w:iCs/>
        </w:rPr>
        <w:t>See</w:t>
      </w:r>
      <w:r w:rsidRPr="009F549F">
        <w:rPr>
          <w:rFonts w:eastAsia="Century Schoolbook"/>
        </w:rPr>
        <w:t xml:space="preserve"> I.R.C. § 1001</w:t>
      </w:r>
      <w:r w:rsidRPr="00036097">
        <w:rPr>
          <w:rFonts w:eastAsia="Century Schoolbook"/>
        </w:rPr>
        <w:t>(a).</w:t>
      </w:r>
    </w:p>
  </w:footnote>
  <w:footnote w:id="45">
    <w:p w14:paraId="6B534D48" w14:textId="2920DC9A" w:rsidR="006E30B5" w:rsidRPr="009F549F" w:rsidRDefault="006E30B5">
      <w:pPr>
        <w:rPr>
          <w:rFonts w:eastAsia="Century Schoolbook"/>
        </w:rPr>
      </w:pPr>
      <w:r w:rsidRPr="009F549F">
        <w:rPr>
          <w:vertAlign w:val="superscript"/>
        </w:rPr>
        <w:footnoteRef/>
      </w:r>
      <w:r w:rsidRPr="00036097">
        <w:rPr>
          <w:rFonts w:eastAsia="Century Schoolbook"/>
        </w:rPr>
        <w:t xml:space="preserve"> </w:t>
      </w:r>
      <w:r w:rsidRPr="003A4913">
        <w:rPr>
          <w:rFonts w:eastAsia="Century Schoolbook"/>
          <w:i/>
          <w:iCs/>
        </w:rPr>
        <w:t>See</w:t>
      </w:r>
      <w:r w:rsidRPr="009F549F">
        <w:rPr>
          <w:rFonts w:eastAsia="Century Schoolbook"/>
        </w:rPr>
        <w:t xml:space="preserve"> Edward A. </w:t>
      </w:r>
      <w:proofErr w:type="spellStart"/>
      <w:r w:rsidRPr="009F549F">
        <w:rPr>
          <w:rFonts w:eastAsia="Century Schoolbook"/>
        </w:rPr>
        <w:t>Zelinsky</w:t>
      </w:r>
      <w:proofErr w:type="spellEnd"/>
      <w:r w:rsidRPr="009F549F">
        <w:rPr>
          <w:rFonts w:eastAsia="Century Schoolbook"/>
        </w:rPr>
        <w:t xml:space="preserve">, </w:t>
      </w:r>
      <w:r w:rsidRPr="009F549F">
        <w:rPr>
          <w:rFonts w:eastAsia="Century Schoolbook"/>
          <w:i/>
        </w:rPr>
        <w:t xml:space="preserve">For Realization: Income Taxation, Sectoral </w:t>
      </w:r>
      <w:proofErr w:type="spellStart"/>
      <w:r w:rsidRPr="009F549F">
        <w:rPr>
          <w:rFonts w:eastAsia="Century Schoolbook"/>
          <w:i/>
        </w:rPr>
        <w:t>Accretionism</w:t>
      </w:r>
      <w:proofErr w:type="spellEnd"/>
      <w:r w:rsidRPr="009F549F">
        <w:rPr>
          <w:rFonts w:eastAsia="Century Schoolbook"/>
          <w:i/>
        </w:rPr>
        <w:t>, and the Virtue of Attainable Virtues</w:t>
      </w:r>
      <w:r w:rsidRPr="009F549F">
        <w:rPr>
          <w:rFonts w:eastAsia="Century Schoolbook"/>
        </w:rPr>
        <w:t xml:space="preserve">, 19 </w:t>
      </w:r>
      <w:r w:rsidRPr="009F549F">
        <w:rPr>
          <w:rFonts w:eastAsia="Century Schoolbook"/>
          <w:smallCaps/>
        </w:rPr>
        <w:t>Cardozo L. Rev</w:t>
      </w:r>
      <w:r w:rsidRPr="009F549F">
        <w:rPr>
          <w:rFonts w:eastAsia="Century Schoolbook"/>
        </w:rPr>
        <w:t>. 861, 872</w:t>
      </w:r>
      <w:r w:rsidRPr="00036097">
        <w:rPr>
          <w:rFonts w:eastAsia="Century Schoolbook"/>
        </w:rPr>
        <w:t>–73</w:t>
      </w:r>
      <w:r w:rsidRPr="009F549F">
        <w:rPr>
          <w:rFonts w:eastAsia="Century Schoolbook"/>
        </w:rPr>
        <w:t xml:space="preserve"> (1997).</w:t>
      </w:r>
      <w:r w:rsidRPr="00036097">
        <w:rPr>
          <w:rFonts w:eastAsia="Century Schoolbook"/>
        </w:rPr>
        <w:t xml:space="preserve"> </w:t>
      </w:r>
    </w:p>
  </w:footnote>
  <w:footnote w:id="46">
    <w:p w14:paraId="75C8A65C" w14:textId="55994BF6" w:rsidR="006E30B5" w:rsidRPr="009F549F" w:rsidRDefault="006E30B5">
      <w:pPr>
        <w:rPr>
          <w:rFonts w:eastAsia="Century Schoolbook"/>
        </w:rPr>
      </w:pPr>
      <w:r w:rsidRPr="009F549F">
        <w:rPr>
          <w:vertAlign w:val="superscript"/>
        </w:rPr>
        <w:footnoteRef/>
      </w:r>
      <w:r w:rsidRPr="009F549F">
        <w:rPr>
          <w:rFonts w:eastAsia="Century Schoolbook"/>
        </w:rPr>
        <w:t xml:space="preserve"> </w:t>
      </w:r>
      <w:r w:rsidRPr="009F549F">
        <w:rPr>
          <w:rFonts w:eastAsia="Century Schoolbook"/>
          <w:i/>
        </w:rPr>
        <w:t>Id.</w:t>
      </w:r>
      <w:r w:rsidRPr="00036097">
        <w:rPr>
          <w:rFonts w:eastAsia="Century Schoolbook"/>
        </w:rPr>
        <w:t xml:space="preserve"> at 872.</w:t>
      </w:r>
    </w:p>
  </w:footnote>
  <w:footnote w:id="47">
    <w:p w14:paraId="2DA30425" w14:textId="580714F4" w:rsidR="006E30B5" w:rsidRPr="009F549F" w:rsidRDefault="006E30B5">
      <w:pPr>
        <w:rPr>
          <w:rFonts w:eastAsia="Century Schoolbook"/>
        </w:rPr>
      </w:pPr>
      <w:r w:rsidRPr="009F549F">
        <w:rPr>
          <w:vertAlign w:val="superscript"/>
        </w:rPr>
        <w:footnoteRef/>
      </w:r>
      <w:r w:rsidRPr="00036097">
        <w:rPr>
          <w:rFonts w:eastAsia="Century Schoolbook"/>
        </w:rPr>
        <w:t xml:space="preserve"> </w:t>
      </w:r>
      <w:r w:rsidRPr="003A4913">
        <w:rPr>
          <w:rFonts w:eastAsia="Century Schoolbook"/>
          <w:i/>
          <w:iCs/>
        </w:rPr>
        <w:t>See</w:t>
      </w:r>
      <w:r w:rsidRPr="009F549F">
        <w:rPr>
          <w:rFonts w:eastAsia="Century Schoolbook"/>
        </w:rPr>
        <w:t xml:space="preserve"> </w:t>
      </w:r>
      <w:proofErr w:type="spellStart"/>
      <w:r w:rsidRPr="009F549F">
        <w:rPr>
          <w:rFonts w:eastAsia="Century Schoolbook"/>
        </w:rPr>
        <w:t>Shaviro</w:t>
      </w:r>
      <w:proofErr w:type="spellEnd"/>
      <w:r w:rsidRPr="009F549F">
        <w:rPr>
          <w:rFonts w:eastAsia="Century Schoolbook"/>
        </w:rPr>
        <w:t xml:space="preserve">, </w:t>
      </w:r>
      <w:r w:rsidRPr="009F549F">
        <w:rPr>
          <w:rFonts w:eastAsia="Century Schoolbook"/>
          <w:i/>
        </w:rPr>
        <w:t>supra</w:t>
      </w:r>
      <w:r w:rsidRPr="009F549F">
        <w:rPr>
          <w:rFonts w:eastAsia="Century Schoolbook"/>
        </w:rPr>
        <w:t xml:space="preserve"> note </w:t>
      </w:r>
      <w:r w:rsidRPr="00036097">
        <w:rPr>
          <w:rFonts w:eastAsia="Century Schoolbook"/>
        </w:rPr>
        <w:fldChar w:fldCharType="begin"/>
      </w:r>
      <w:r w:rsidRPr="00036097">
        <w:rPr>
          <w:rFonts w:eastAsia="Century Schoolbook"/>
        </w:rPr>
        <w:instrText xml:space="preserve"> NOTEREF _Ref115045365 \h  \* MERGEFORMAT </w:instrText>
      </w:r>
      <w:r w:rsidRPr="00036097">
        <w:rPr>
          <w:rFonts w:eastAsia="Century Schoolbook"/>
        </w:rPr>
      </w:r>
      <w:r w:rsidRPr="00036097">
        <w:rPr>
          <w:rFonts w:eastAsia="Century Schoolbook"/>
        </w:rPr>
        <w:fldChar w:fldCharType="separate"/>
      </w:r>
      <w:r>
        <w:rPr>
          <w:rFonts w:eastAsia="Century Schoolbook"/>
        </w:rPr>
        <w:t>42</w:t>
      </w:r>
      <w:r w:rsidRPr="00036097">
        <w:rPr>
          <w:rFonts w:eastAsia="Century Schoolbook"/>
        </w:rPr>
        <w:fldChar w:fldCharType="end"/>
      </w:r>
      <w:r w:rsidRPr="00036097">
        <w:rPr>
          <w:rFonts w:eastAsia="Century Schoolbook"/>
        </w:rPr>
        <w:t>,</w:t>
      </w:r>
      <w:r w:rsidRPr="009F549F">
        <w:rPr>
          <w:rFonts w:eastAsia="Century Schoolbook"/>
        </w:rPr>
        <w:t xml:space="preserve"> at 13.</w:t>
      </w:r>
    </w:p>
  </w:footnote>
  <w:footnote w:id="48">
    <w:p w14:paraId="61E2C87F" w14:textId="77777777" w:rsidR="006E30B5" w:rsidRPr="009F549F" w:rsidRDefault="006E30B5">
      <w:pPr>
        <w:rPr>
          <w:rFonts w:eastAsia="Century Schoolbook"/>
        </w:rPr>
      </w:pPr>
      <w:r w:rsidRPr="009F549F">
        <w:rPr>
          <w:vertAlign w:val="superscript"/>
        </w:rPr>
        <w:footnoteRef/>
      </w:r>
      <w:r w:rsidRPr="009F549F">
        <w:rPr>
          <w:rFonts w:eastAsia="Century Schoolbook"/>
        </w:rPr>
        <w:t xml:space="preserve"> </w:t>
      </w:r>
      <w:r w:rsidRPr="009F549F">
        <w:rPr>
          <w:rFonts w:eastAsia="Century Schoolbook"/>
          <w:i/>
        </w:rPr>
        <w:t>See</w:t>
      </w:r>
      <w:r w:rsidRPr="009F549F">
        <w:rPr>
          <w:rFonts w:eastAsia="Century Schoolbook"/>
        </w:rPr>
        <w:t xml:space="preserve"> </w:t>
      </w:r>
      <w:proofErr w:type="spellStart"/>
      <w:r w:rsidRPr="009F549F">
        <w:rPr>
          <w:rFonts w:eastAsia="Century Schoolbook"/>
        </w:rPr>
        <w:t>Ilan</w:t>
      </w:r>
      <w:proofErr w:type="spellEnd"/>
      <w:r w:rsidRPr="009F549F">
        <w:rPr>
          <w:rFonts w:eastAsia="Century Schoolbook"/>
        </w:rPr>
        <w:t xml:space="preserve"> </w:t>
      </w:r>
      <w:proofErr w:type="spellStart"/>
      <w:r w:rsidRPr="009F549F">
        <w:rPr>
          <w:rFonts w:eastAsia="Century Schoolbook"/>
        </w:rPr>
        <w:t>Benshalom</w:t>
      </w:r>
      <w:proofErr w:type="spellEnd"/>
      <w:r w:rsidRPr="009F549F">
        <w:rPr>
          <w:rFonts w:eastAsia="Century Schoolbook"/>
        </w:rPr>
        <w:t xml:space="preserve"> &amp; Kendra Stead, </w:t>
      </w:r>
      <w:r w:rsidRPr="009F549F">
        <w:rPr>
          <w:rFonts w:eastAsia="Century Schoolbook"/>
          <w:i/>
        </w:rPr>
        <w:t>Realization and Progressivity</w:t>
      </w:r>
      <w:r w:rsidRPr="009F549F">
        <w:rPr>
          <w:rFonts w:eastAsia="Century Schoolbook"/>
        </w:rPr>
        <w:t xml:space="preserve">, 3 </w:t>
      </w:r>
      <w:r w:rsidRPr="009F549F">
        <w:rPr>
          <w:rFonts w:eastAsia="Century Schoolbook"/>
          <w:smallCaps/>
        </w:rPr>
        <w:t>Colum. J. Tax L.</w:t>
      </w:r>
      <w:r w:rsidRPr="009F549F">
        <w:rPr>
          <w:rFonts w:eastAsia="Century Schoolbook"/>
        </w:rPr>
        <w:t xml:space="preserve"> 43, 54 (2011) (observing that markets continue to develop improved valuation techniques). </w:t>
      </w:r>
    </w:p>
  </w:footnote>
  <w:footnote w:id="49">
    <w:p w14:paraId="54328DCC" w14:textId="22BBC81B" w:rsidR="006E30B5" w:rsidRPr="009F549F" w:rsidRDefault="006E30B5">
      <w:pPr>
        <w:rPr>
          <w:rFonts w:eastAsia="Century Schoolbook"/>
        </w:rPr>
      </w:pPr>
      <w:r w:rsidRPr="009F549F">
        <w:rPr>
          <w:vertAlign w:val="superscript"/>
        </w:rPr>
        <w:footnoteRef/>
      </w:r>
      <w:r w:rsidRPr="009F549F">
        <w:rPr>
          <w:rFonts w:eastAsia="Century Schoolbook"/>
        </w:rPr>
        <w:t xml:space="preserve"> </w:t>
      </w:r>
      <w:r w:rsidRPr="009F549F">
        <w:rPr>
          <w:rFonts w:eastAsia="Century Schoolbook"/>
          <w:i/>
        </w:rPr>
        <w:t>See</w:t>
      </w:r>
      <w:r w:rsidRPr="009F549F">
        <w:rPr>
          <w:rFonts w:eastAsia="Century Schoolbook"/>
        </w:rPr>
        <w:t xml:space="preserve"> Michael Knoll, </w:t>
      </w:r>
      <w:r w:rsidRPr="009F549F">
        <w:rPr>
          <w:rFonts w:eastAsia="Century Schoolbook"/>
          <w:i/>
        </w:rPr>
        <w:t>An Accretion Corporate Income Tax</w:t>
      </w:r>
      <w:r w:rsidRPr="009F549F">
        <w:rPr>
          <w:rFonts w:eastAsia="Century Schoolbook"/>
        </w:rPr>
        <w:t xml:space="preserve">, 49 </w:t>
      </w:r>
      <w:r w:rsidRPr="009F549F">
        <w:rPr>
          <w:rFonts w:eastAsia="Century Schoolbook"/>
          <w:smallCaps/>
        </w:rPr>
        <w:t>Stan. L. Rev</w:t>
      </w:r>
      <w:r w:rsidRPr="009F549F">
        <w:rPr>
          <w:rFonts w:eastAsia="Century Schoolbook"/>
        </w:rPr>
        <w:t xml:space="preserve">. </w:t>
      </w:r>
      <w:r w:rsidRPr="009F549F">
        <w:rPr>
          <w:rFonts w:eastAsia="Century Schoolbook"/>
        </w:rPr>
        <w:t>1, 12–</w:t>
      </w:r>
      <w:r w:rsidRPr="00036097">
        <w:rPr>
          <w:rFonts w:eastAsia="Century Schoolbook"/>
        </w:rPr>
        <w:t>16</w:t>
      </w:r>
      <w:r w:rsidRPr="009F549F">
        <w:rPr>
          <w:rFonts w:eastAsia="Century Schoolbook"/>
        </w:rPr>
        <w:t>, 41 (1996) (describing techniques for valuing publicly traded stock and debt in public companies).</w:t>
      </w:r>
      <w:r w:rsidRPr="00036097">
        <w:rPr>
          <w:rFonts w:eastAsia="Century Schoolbook"/>
        </w:rPr>
        <w:t xml:space="preserve"> </w:t>
      </w:r>
    </w:p>
  </w:footnote>
  <w:footnote w:id="50">
    <w:p w14:paraId="3276A6E6" w14:textId="6E80F64F" w:rsidR="006E30B5" w:rsidRPr="009F549F" w:rsidRDefault="006E30B5">
      <w:pPr>
        <w:rPr>
          <w:rFonts w:eastAsia="Century Schoolbook"/>
        </w:rPr>
      </w:pPr>
      <w:r w:rsidRPr="009F549F">
        <w:rPr>
          <w:vertAlign w:val="superscript"/>
        </w:rPr>
        <w:footnoteRef/>
      </w:r>
      <w:r w:rsidRPr="009F549F">
        <w:rPr>
          <w:rFonts w:eastAsia="Century Schoolbook"/>
        </w:rPr>
        <w:t xml:space="preserve"> </w:t>
      </w:r>
      <w:r w:rsidRPr="00036097">
        <w:rPr>
          <w:rFonts w:eastAsia="Century Schoolbook"/>
        </w:rPr>
        <w:t xml:space="preserve"> </w:t>
      </w:r>
      <w:r w:rsidRPr="005B6E42">
        <w:rPr>
          <w:rFonts w:eastAsia="Century Schoolbook"/>
          <w:i/>
          <w:iCs/>
        </w:rPr>
        <w:t>See</w:t>
      </w:r>
      <w:r w:rsidRPr="009F549F">
        <w:rPr>
          <w:rFonts w:eastAsia="Century Schoolbook"/>
        </w:rPr>
        <w:t xml:space="preserve"> </w:t>
      </w:r>
      <w:proofErr w:type="spellStart"/>
      <w:r w:rsidRPr="009F549F">
        <w:rPr>
          <w:rFonts w:eastAsia="Century Schoolbook"/>
        </w:rPr>
        <w:t>Schizer</w:t>
      </w:r>
      <w:proofErr w:type="spellEnd"/>
      <w:r w:rsidRPr="009F549F">
        <w:rPr>
          <w:rFonts w:eastAsia="Century Schoolbook"/>
        </w:rPr>
        <w:t xml:space="preserve">, </w:t>
      </w:r>
      <w:r w:rsidRPr="009F549F">
        <w:rPr>
          <w:rFonts w:eastAsia="Century Schoolbook"/>
          <w:i/>
        </w:rPr>
        <w:t xml:space="preserve">supra </w:t>
      </w:r>
      <w:r w:rsidRPr="009F549F">
        <w:rPr>
          <w:rFonts w:eastAsia="Century Schoolbook"/>
        </w:rPr>
        <w:t xml:space="preserve">note </w:t>
      </w:r>
      <w:r w:rsidRPr="00036097">
        <w:rPr>
          <w:rFonts w:eastAsia="Century Schoolbook"/>
        </w:rPr>
        <w:fldChar w:fldCharType="begin"/>
      </w:r>
      <w:r w:rsidRPr="00036097">
        <w:rPr>
          <w:rFonts w:eastAsia="Century Schoolbook"/>
        </w:rPr>
        <w:instrText xml:space="preserve"> NOTEREF _Ref115037095 \h  \* MERGEFORMAT </w:instrText>
      </w:r>
      <w:r w:rsidRPr="00036097">
        <w:rPr>
          <w:rFonts w:eastAsia="Century Schoolbook"/>
        </w:rPr>
      </w:r>
      <w:r w:rsidRPr="00036097">
        <w:rPr>
          <w:rFonts w:eastAsia="Century Schoolbook"/>
        </w:rPr>
        <w:fldChar w:fldCharType="separate"/>
      </w:r>
      <w:r>
        <w:rPr>
          <w:rFonts w:eastAsia="Century Schoolbook"/>
        </w:rPr>
        <w:t>38</w:t>
      </w:r>
      <w:r w:rsidRPr="00036097">
        <w:rPr>
          <w:rFonts w:eastAsia="Century Schoolbook"/>
        </w:rPr>
        <w:fldChar w:fldCharType="end"/>
      </w:r>
      <w:r w:rsidRPr="00036097">
        <w:rPr>
          <w:rFonts w:eastAsia="Century Schoolbook"/>
        </w:rPr>
        <w:t>,</w:t>
      </w:r>
      <w:r w:rsidRPr="009F549F">
        <w:rPr>
          <w:rFonts w:eastAsia="Century Schoolbook"/>
        </w:rPr>
        <w:t xml:space="preserve"> at 1595–96; </w:t>
      </w:r>
      <w:proofErr w:type="spellStart"/>
      <w:r w:rsidRPr="009F549F">
        <w:rPr>
          <w:rFonts w:eastAsia="Century Schoolbook"/>
        </w:rPr>
        <w:t>Zelinsky</w:t>
      </w:r>
      <w:proofErr w:type="spellEnd"/>
      <w:r w:rsidRPr="009F549F">
        <w:rPr>
          <w:rFonts w:eastAsia="Century Schoolbook"/>
        </w:rPr>
        <w:t xml:space="preserve">, </w:t>
      </w:r>
      <w:r w:rsidRPr="009F549F">
        <w:rPr>
          <w:rFonts w:eastAsia="Century Schoolbook"/>
          <w:i/>
        </w:rPr>
        <w:t>supra</w:t>
      </w:r>
      <w:r w:rsidRPr="009F549F">
        <w:rPr>
          <w:rFonts w:eastAsia="Century Schoolbook"/>
        </w:rPr>
        <w:t xml:space="preserve"> note </w:t>
      </w:r>
      <w:r w:rsidRPr="00036097">
        <w:rPr>
          <w:rFonts w:eastAsia="Century Schoolbook"/>
        </w:rPr>
        <w:fldChar w:fldCharType="begin"/>
      </w:r>
      <w:r w:rsidRPr="00036097">
        <w:rPr>
          <w:rFonts w:eastAsia="Century Schoolbook"/>
        </w:rPr>
        <w:instrText xml:space="preserve"> NOTEREF _Ref115211226 \h  \* MERGEFORMAT </w:instrText>
      </w:r>
      <w:r w:rsidRPr="00036097">
        <w:rPr>
          <w:rFonts w:eastAsia="Century Schoolbook"/>
        </w:rPr>
      </w:r>
      <w:r w:rsidRPr="00036097">
        <w:rPr>
          <w:rFonts w:eastAsia="Century Schoolbook"/>
        </w:rPr>
        <w:fldChar w:fldCharType="separate"/>
      </w:r>
      <w:r>
        <w:rPr>
          <w:rFonts w:eastAsia="Century Schoolbook"/>
        </w:rPr>
        <w:t>45</w:t>
      </w:r>
      <w:r w:rsidRPr="00036097">
        <w:rPr>
          <w:rFonts w:eastAsia="Century Schoolbook"/>
        </w:rPr>
        <w:fldChar w:fldCharType="end"/>
      </w:r>
      <w:r w:rsidRPr="00036097">
        <w:rPr>
          <w:rFonts w:eastAsia="Century Schoolbook"/>
        </w:rPr>
        <w:t>,</w:t>
      </w:r>
      <w:r w:rsidRPr="009F549F">
        <w:rPr>
          <w:rFonts w:eastAsia="Century Schoolbook"/>
        </w:rPr>
        <w:t xml:space="preserve"> at 917–18. </w:t>
      </w:r>
      <w:proofErr w:type="spellStart"/>
      <w:r w:rsidRPr="009F549F">
        <w:rPr>
          <w:rFonts w:eastAsia="Century Schoolbook"/>
        </w:rPr>
        <w:t>Zelinsky</w:t>
      </w:r>
      <w:proofErr w:type="spellEnd"/>
      <w:r w:rsidRPr="009F549F">
        <w:rPr>
          <w:rFonts w:eastAsia="Century Schoolbook"/>
        </w:rPr>
        <w:t xml:space="preserve"> also argues that realization provides unique compliance advantages, such as the more reliable presence of a third-party reporter. </w:t>
      </w:r>
      <w:r w:rsidRPr="009F549F">
        <w:rPr>
          <w:rFonts w:eastAsia="Century Schoolbook"/>
          <w:i/>
        </w:rPr>
        <w:t>Id.</w:t>
      </w:r>
      <w:r w:rsidRPr="009F549F">
        <w:rPr>
          <w:rFonts w:eastAsia="Century Schoolbook"/>
        </w:rPr>
        <w:t xml:space="preserve"> at 903.</w:t>
      </w:r>
    </w:p>
  </w:footnote>
  <w:footnote w:id="51">
    <w:p w14:paraId="0CED8C97" w14:textId="258AB715" w:rsidR="006E30B5" w:rsidRPr="009F549F" w:rsidRDefault="006E30B5">
      <w:pPr>
        <w:rPr>
          <w:rFonts w:eastAsia="Century Schoolbook"/>
        </w:rPr>
      </w:pPr>
      <w:r w:rsidRPr="009F549F">
        <w:rPr>
          <w:vertAlign w:val="superscript"/>
        </w:rPr>
        <w:footnoteRef/>
      </w:r>
      <w:r w:rsidRPr="00036097">
        <w:rPr>
          <w:rFonts w:eastAsia="Century Schoolbook"/>
        </w:rPr>
        <w:t xml:space="preserve"> </w:t>
      </w:r>
      <w:r w:rsidRPr="009F2405">
        <w:rPr>
          <w:rFonts w:eastAsia="Century Schoolbook"/>
          <w:i/>
          <w:iCs/>
        </w:rPr>
        <w:t>See</w:t>
      </w:r>
      <w:r w:rsidRPr="009F549F">
        <w:rPr>
          <w:rFonts w:eastAsia="Century Schoolbook"/>
        </w:rPr>
        <w:t xml:space="preserve"> Joseph Bankman, </w:t>
      </w:r>
      <w:r w:rsidRPr="009F549F">
        <w:rPr>
          <w:rFonts w:eastAsia="Century Schoolbook"/>
          <w:i/>
        </w:rPr>
        <w:t>A Market-Value Based Corporate Income Tax</w:t>
      </w:r>
      <w:r w:rsidRPr="009F549F">
        <w:rPr>
          <w:rFonts w:eastAsia="Century Schoolbook"/>
        </w:rPr>
        <w:t xml:space="preserve">, 68 </w:t>
      </w:r>
      <w:r w:rsidRPr="009F549F">
        <w:rPr>
          <w:rFonts w:eastAsia="Century Schoolbook"/>
          <w:smallCaps/>
        </w:rPr>
        <w:t>Tax Notes</w:t>
      </w:r>
      <w:r w:rsidRPr="009F549F">
        <w:rPr>
          <w:rFonts w:eastAsia="Century Schoolbook"/>
        </w:rPr>
        <w:t xml:space="preserve"> 1347, 1352 (1995); </w:t>
      </w:r>
      <w:proofErr w:type="spellStart"/>
      <w:r w:rsidRPr="009F549F">
        <w:rPr>
          <w:rFonts w:eastAsia="Century Schoolbook"/>
        </w:rPr>
        <w:t>Shaviro</w:t>
      </w:r>
      <w:proofErr w:type="spellEnd"/>
      <w:r w:rsidRPr="009F549F">
        <w:rPr>
          <w:rFonts w:eastAsia="Century Schoolbook"/>
        </w:rPr>
        <w:t xml:space="preserve">, </w:t>
      </w:r>
      <w:r w:rsidRPr="009F549F">
        <w:rPr>
          <w:rFonts w:eastAsia="Century Schoolbook"/>
          <w:i/>
        </w:rPr>
        <w:t>supra</w:t>
      </w:r>
      <w:r w:rsidRPr="009F549F">
        <w:rPr>
          <w:rFonts w:eastAsia="Century Schoolbook"/>
        </w:rPr>
        <w:t xml:space="preserve"> note </w:t>
      </w:r>
      <w:r w:rsidRPr="00036097">
        <w:rPr>
          <w:rFonts w:eastAsia="Century Schoolbook"/>
        </w:rPr>
        <w:fldChar w:fldCharType="begin"/>
      </w:r>
      <w:r w:rsidRPr="00036097">
        <w:rPr>
          <w:rFonts w:eastAsia="Century Schoolbook"/>
        </w:rPr>
        <w:instrText xml:space="preserve"> NOTEREF _Ref115045365 \h  \* MERGEFORMAT </w:instrText>
      </w:r>
      <w:r w:rsidRPr="00036097">
        <w:rPr>
          <w:rFonts w:eastAsia="Century Schoolbook"/>
        </w:rPr>
      </w:r>
      <w:r w:rsidRPr="00036097">
        <w:rPr>
          <w:rFonts w:eastAsia="Century Schoolbook"/>
        </w:rPr>
        <w:fldChar w:fldCharType="separate"/>
      </w:r>
      <w:r>
        <w:rPr>
          <w:rFonts w:eastAsia="Century Schoolbook"/>
        </w:rPr>
        <w:t>42</w:t>
      </w:r>
      <w:r w:rsidRPr="00036097">
        <w:rPr>
          <w:rFonts w:eastAsia="Century Schoolbook"/>
        </w:rPr>
        <w:fldChar w:fldCharType="end"/>
      </w:r>
      <w:r w:rsidRPr="00036097">
        <w:rPr>
          <w:rFonts w:eastAsia="Century Schoolbook"/>
        </w:rPr>
        <w:t>,</w:t>
      </w:r>
      <w:r w:rsidRPr="009F549F">
        <w:rPr>
          <w:rFonts w:eastAsia="Century Schoolbook"/>
        </w:rPr>
        <w:t xml:space="preserve"> at 38.</w:t>
      </w:r>
      <w:r w:rsidRPr="00036097">
        <w:rPr>
          <w:rFonts w:eastAsia="Century Schoolbook"/>
        </w:rPr>
        <w:t xml:space="preserve">  </w:t>
      </w:r>
    </w:p>
  </w:footnote>
  <w:footnote w:id="52">
    <w:p w14:paraId="103737D4" w14:textId="3B2946A3" w:rsidR="006E30B5" w:rsidRPr="009F549F" w:rsidRDefault="006E30B5">
      <w:pPr>
        <w:rPr>
          <w:rFonts w:eastAsia="Century Schoolbook"/>
        </w:rPr>
      </w:pPr>
      <w:r w:rsidRPr="009F549F">
        <w:rPr>
          <w:vertAlign w:val="superscript"/>
        </w:rPr>
        <w:footnoteRef/>
      </w:r>
      <w:r w:rsidRPr="00036097">
        <w:rPr>
          <w:rFonts w:eastAsia="Century Schoolbook"/>
        </w:rPr>
        <w:t xml:space="preserve"> </w:t>
      </w:r>
      <w:r w:rsidRPr="009F2405">
        <w:rPr>
          <w:rFonts w:eastAsia="Century Schoolbook"/>
          <w:i/>
          <w:iCs/>
        </w:rPr>
        <w:t>See</w:t>
      </w:r>
      <w:r w:rsidRPr="009F549F">
        <w:rPr>
          <w:rFonts w:eastAsia="Century Schoolbook"/>
        </w:rPr>
        <w:t xml:space="preserve"> Alan J. Auerbach &amp; David J. </w:t>
      </w:r>
      <w:r w:rsidRPr="009F549F">
        <w:rPr>
          <w:rFonts w:eastAsia="Century Schoolbook"/>
        </w:rPr>
        <w:t xml:space="preserve">Bradford, </w:t>
      </w:r>
      <w:r w:rsidRPr="009F549F">
        <w:rPr>
          <w:rFonts w:eastAsia="Century Schoolbook"/>
          <w:i/>
        </w:rPr>
        <w:t xml:space="preserve">Generalized </w:t>
      </w:r>
      <w:r w:rsidRPr="00036097">
        <w:rPr>
          <w:rFonts w:eastAsia="Century Schoolbook"/>
          <w:i/>
        </w:rPr>
        <w:t>Cash Flow Taxation</w:t>
      </w:r>
      <w:r w:rsidRPr="009F549F">
        <w:rPr>
          <w:rFonts w:eastAsia="Century Schoolbook"/>
        </w:rPr>
        <w:t xml:space="preserve">, 88 J. </w:t>
      </w:r>
      <w:r w:rsidRPr="009F549F">
        <w:rPr>
          <w:rFonts w:eastAsia="Century Schoolbook"/>
          <w:smallCaps/>
        </w:rPr>
        <w:t>Pub. Econ.</w:t>
      </w:r>
      <w:r w:rsidRPr="009F549F">
        <w:rPr>
          <w:rFonts w:eastAsia="Century Schoolbook"/>
        </w:rPr>
        <w:t xml:space="preserve"> 957, </w:t>
      </w:r>
      <w:r w:rsidRPr="00036097">
        <w:rPr>
          <w:rFonts w:eastAsia="Century Schoolbook"/>
        </w:rPr>
        <w:t>957–58</w:t>
      </w:r>
      <w:r w:rsidRPr="009F549F">
        <w:rPr>
          <w:rFonts w:eastAsia="Century Schoolbook"/>
        </w:rPr>
        <w:t xml:space="preserve"> (2004).</w:t>
      </w:r>
      <w:r w:rsidRPr="00036097">
        <w:rPr>
          <w:rFonts w:eastAsia="Century Schoolbook"/>
        </w:rPr>
        <w:t xml:space="preserve"> </w:t>
      </w:r>
    </w:p>
  </w:footnote>
  <w:footnote w:id="53">
    <w:p w14:paraId="3165719F" w14:textId="3987B953" w:rsidR="006E30B5" w:rsidRPr="009F549F" w:rsidRDefault="006E30B5" w:rsidP="009F549F">
      <w:pPr>
        <w:autoSpaceDE w:val="0"/>
        <w:autoSpaceDN w:val="0"/>
        <w:adjustRightInd w:val="0"/>
        <w:rPr>
          <w:rFonts w:eastAsia="Arial"/>
        </w:rPr>
      </w:pPr>
      <w:r w:rsidRPr="009F549F">
        <w:rPr>
          <w:vertAlign w:val="superscript"/>
        </w:rPr>
        <w:footnoteRef/>
      </w:r>
      <w:r w:rsidRPr="00036097">
        <w:rPr>
          <w:rFonts w:eastAsia="Century Schoolbook"/>
        </w:rPr>
        <w:t xml:space="preserve"> </w:t>
      </w:r>
      <w:r w:rsidRPr="005F796A">
        <w:rPr>
          <w:rFonts w:eastAsia="Century Schoolbook"/>
          <w:i/>
          <w:iCs/>
        </w:rPr>
        <w:t>See</w:t>
      </w:r>
      <w:r w:rsidRPr="009F549F">
        <w:rPr>
          <w:rFonts w:eastAsia="Century Schoolbook"/>
          <w:i/>
        </w:rPr>
        <w:t xml:space="preserve"> </w:t>
      </w:r>
      <w:r w:rsidRPr="009F549F">
        <w:rPr>
          <w:rFonts w:eastAsia="Century Schoolbook"/>
        </w:rPr>
        <w:t xml:space="preserve">Deborah H. Schenk, </w:t>
      </w:r>
      <w:r w:rsidRPr="009F549F">
        <w:rPr>
          <w:rFonts w:eastAsia="Century Schoolbook"/>
          <w:i/>
        </w:rPr>
        <w:t>An Efficiency Approach to Reforming a Realization-Based Tax</w:t>
      </w:r>
      <w:r w:rsidRPr="009F549F">
        <w:rPr>
          <w:rFonts w:eastAsia="Century Schoolbook"/>
        </w:rPr>
        <w:t xml:space="preserve">, 57 </w:t>
      </w:r>
      <w:r w:rsidRPr="009F549F">
        <w:rPr>
          <w:rFonts w:eastAsia="Century Schoolbook"/>
          <w:smallCaps/>
        </w:rPr>
        <w:t>Tax L. Rev.</w:t>
      </w:r>
      <w:r w:rsidRPr="009F549F">
        <w:rPr>
          <w:rFonts w:eastAsia="Century Schoolbook"/>
        </w:rPr>
        <w:t xml:space="preserve"> </w:t>
      </w:r>
      <w:r w:rsidRPr="009F549F">
        <w:rPr>
          <w:rFonts w:eastAsia="Century Schoolbook"/>
        </w:rPr>
        <w:t>503, 528 (2004</w:t>
      </w:r>
      <w:r w:rsidRPr="00036097">
        <w:rPr>
          <w:rFonts w:eastAsia="Century Schoolbook"/>
        </w:rPr>
        <w:t>) (“</w:t>
      </w:r>
      <w:r w:rsidRPr="00036097">
        <w:rPr>
          <w:rFonts w:eastAsia="Arial"/>
        </w:rPr>
        <w:t>Every derivative transaction is a bet and there are an infinite number of transactions. Presumably, every such bet can be repackaged</w:t>
      </w:r>
      <w:r>
        <w:rPr>
          <w:rFonts w:eastAsia="Arial"/>
        </w:rPr>
        <w:t xml:space="preserve"> </w:t>
      </w:r>
      <w:r w:rsidRPr="00036097">
        <w:rPr>
          <w:rFonts w:eastAsia="Arial"/>
        </w:rPr>
        <w:t xml:space="preserve">fairly </w:t>
      </w:r>
      <w:proofErr w:type="spellStart"/>
      <w:r w:rsidRPr="00036097">
        <w:rPr>
          <w:rFonts w:eastAsia="Arial"/>
        </w:rPr>
        <w:t>costlessly</w:t>
      </w:r>
      <w:proofErr w:type="spellEnd"/>
      <w:r w:rsidRPr="00036097">
        <w:rPr>
          <w:rFonts w:eastAsia="Arial"/>
        </w:rPr>
        <w:t xml:space="preserve"> as some other bet.”).</w:t>
      </w:r>
      <w:r w:rsidRPr="009F549F">
        <w:rPr>
          <w:rFonts w:eastAsia="Arial"/>
        </w:rPr>
        <w:t xml:space="preserve"> </w:t>
      </w:r>
    </w:p>
  </w:footnote>
  <w:footnote w:id="54">
    <w:p w14:paraId="1BC49DAE" w14:textId="54E806E8" w:rsidR="006E30B5" w:rsidRPr="009F549F" w:rsidRDefault="006E30B5">
      <w:pPr>
        <w:rPr>
          <w:rFonts w:eastAsia="Century Schoolbook"/>
        </w:rPr>
      </w:pPr>
      <w:r w:rsidRPr="009F549F">
        <w:rPr>
          <w:vertAlign w:val="superscript"/>
        </w:rPr>
        <w:footnoteRef/>
      </w:r>
      <w:r w:rsidRPr="009F549F">
        <w:rPr>
          <w:rFonts w:eastAsia="Century Schoolbook"/>
        </w:rPr>
        <w:t xml:space="preserve"> Take Chen. Chen has the choice of paying $100 in tax this year or instead paying it next year. If Chen defers payment, she can invest the $100 for the intervening year. </w:t>
      </w:r>
      <w:r w:rsidRPr="009F549F">
        <w:rPr>
          <w:rFonts w:eastAsia="Century Schoolbook"/>
        </w:rPr>
        <w:t>Suppose that she earns a $</w:t>
      </w:r>
      <w:r w:rsidRPr="007D6E99">
        <w:rPr>
          <w:rFonts w:ascii="Century Schoolbook" w:eastAsia="Century Schoolbook" w:hAnsi="Century Schoolbook" w:cs="Century Schoolbook"/>
          <w:sz w:val="20"/>
          <w:szCs w:val="20"/>
        </w:rPr>
        <w:t>1</w:t>
      </w:r>
      <w:r>
        <w:rPr>
          <w:rFonts w:ascii="Century Schoolbook" w:eastAsia="Century Schoolbook" w:hAnsi="Century Schoolbook" w:cs="Century Schoolbook"/>
          <w:sz w:val="20"/>
          <w:szCs w:val="20"/>
        </w:rPr>
        <w:t>0</w:t>
      </w:r>
      <w:r w:rsidRPr="007D6E99">
        <w:rPr>
          <w:rFonts w:ascii="Century Schoolbook" w:eastAsia="Century Schoolbook" w:hAnsi="Century Schoolbook" w:cs="Century Schoolbook"/>
          <w:sz w:val="20"/>
          <w:szCs w:val="20"/>
        </w:rPr>
        <w:t xml:space="preserve"> </w:t>
      </w:r>
      <w:r w:rsidRPr="009F549F">
        <w:rPr>
          <w:rFonts w:eastAsia="Century Schoolbook"/>
        </w:rPr>
        <w:t xml:space="preserve">investment return on her $100 investment, then pays a </w:t>
      </w:r>
      <w:r>
        <w:rPr>
          <w:rFonts w:eastAsia="Century Schoolbook"/>
        </w:rPr>
        <w:t>20</w:t>
      </w:r>
      <w:r w:rsidRPr="00036097">
        <w:rPr>
          <w:rFonts w:eastAsia="Century Schoolbook"/>
        </w:rPr>
        <w:t xml:space="preserve"> percent</w:t>
      </w:r>
      <w:r w:rsidRPr="009F549F">
        <w:rPr>
          <w:rFonts w:eastAsia="Century Schoolbook"/>
        </w:rPr>
        <w:t xml:space="preserve"> tax on that return. Thus, if Chen opts to delay payment for a year, her net tax bill is effectively only $</w:t>
      </w:r>
      <w:r w:rsidRPr="007D6E99">
        <w:rPr>
          <w:rFonts w:ascii="Century Schoolbook" w:eastAsia="Century Schoolbook" w:hAnsi="Century Schoolbook" w:cs="Century Schoolbook"/>
          <w:sz w:val="20"/>
          <w:szCs w:val="20"/>
        </w:rPr>
        <w:t>9</w:t>
      </w:r>
      <w:r>
        <w:rPr>
          <w:rFonts w:ascii="Century Schoolbook" w:eastAsia="Century Schoolbook" w:hAnsi="Century Schoolbook" w:cs="Century Schoolbook"/>
          <w:sz w:val="20"/>
          <w:szCs w:val="20"/>
        </w:rPr>
        <w:t>2</w:t>
      </w:r>
      <w:r w:rsidRPr="007D6E99">
        <w:rPr>
          <w:rFonts w:ascii="Century Schoolbook" w:eastAsia="Century Schoolbook" w:hAnsi="Century Schoolbook" w:cs="Century Schoolbook"/>
          <w:sz w:val="20"/>
          <w:szCs w:val="20"/>
        </w:rPr>
        <w:t xml:space="preserve"> ($</w:t>
      </w:r>
      <w:r w:rsidRPr="009F549F">
        <w:rPr>
          <w:rFonts w:eastAsia="Century Schoolbook"/>
        </w:rPr>
        <w:t xml:space="preserve">—that is, </w:t>
      </w:r>
      <w:r w:rsidRPr="00A93525">
        <w:rPr>
          <w:rFonts w:eastAsia="Century Schoolbook"/>
        </w:rPr>
        <w:t>$</w:t>
      </w:r>
      <w:r w:rsidRPr="009F549F">
        <w:rPr>
          <w:rFonts w:eastAsia="Century Schoolbook"/>
        </w:rPr>
        <w:t>100 − ($</w:t>
      </w:r>
      <w:r w:rsidRPr="007D6E99">
        <w:rPr>
          <w:rFonts w:ascii="Century Schoolbook" w:eastAsia="Century Schoolbook" w:hAnsi="Century Schoolbook" w:cs="Century Schoolbook"/>
          <w:sz w:val="20"/>
          <w:szCs w:val="20"/>
        </w:rPr>
        <w:t>1</w:t>
      </w:r>
      <w:r>
        <w:rPr>
          <w:rFonts w:ascii="Century Schoolbook" w:eastAsia="Century Schoolbook" w:hAnsi="Century Schoolbook" w:cs="Century Schoolbook"/>
          <w:sz w:val="20"/>
          <w:szCs w:val="20"/>
        </w:rPr>
        <w:t>0</w:t>
      </w:r>
      <w:r w:rsidRPr="007D6E99">
        <w:rPr>
          <w:rFonts w:ascii="Century Schoolbook" w:eastAsia="Century Schoolbook" w:hAnsi="Century Schoolbook" w:cs="Century Schoolbook"/>
          <w:sz w:val="20"/>
          <w:szCs w:val="20"/>
        </w:rPr>
        <w:t xml:space="preserve"> </w:t>
      </w:r>
      <w:r w:rsidRPr="009F549F">
        <w:rPr>
          <w:rFonts w:eastAsia="Century Schoolbook"/>
        </w:rPr>
        <w:t>− $2</w:t>
      </w:r>
      <w:r w:rsidRPr="00A93525">
        <w:rPr>
          <w:rFonts w:eastAsia="Century Schoolbook"/>
        </w:rPr>
        <w:t>)</w:t>
      </w:r>
      <w:r w:rsidRPr="009F549F">
        <w:rPr>
          <w:rFonts w:eastAsia="Century Schoolbook"/>
        </w:rPr>
        <w:t xml:space="preserve">—as opposed to the $100 she would owe if she paid today. </w:t>
      </w:r>
    </w:p>
  </w:footnote>
  <w:footnote w:id="55">
    <w:p w14:paraId="60E1E989" w14:textId="211B66F3" w:rsidR="006E30B5" w:rsidRPr="009F549F" w:rsidRDefault="006E30B5">
      <w:pPr>
        <w:rPr>
          <w:rFonts w:eastAsia="Century Schoolbook"/>
        </w:rPr>
      </w:pPr>
      <w:r w:rsidRPr="009F549F">
        <w:rPr>
          <w:vertAlign w:val="superscript"/>
        </w:rPr>
        <w:footnoteRef/>
      </w:r>
      <w:r w:rsidRPr="00036097">
        <w:rPr>
          <w:rFonts w:eastAsia="Century Schoolbook"/>
        </w:rPr>
        <w:t xml:space="preserve"> </w:t>
      </w:r>
      <w:r w:rsidRPr="005F796A">
        <w:rPr>
          <w:rFonts w:eastAsia="Century Schoolbook"/>
          <w:i/>
          <w:iCs/>
        </w:rPr>
        <w:t>See</w:t>
      </w:r>
      <w:r w:rsidRPr="00036097">
        <w:rPr>
          <w:rFonts w:eastAsia="Century Schoolbook"/>
        </w:rPr>
        <w:t xml:space="preserve"> </w:t>
      </w:r>
      <w:proofErr w:type="spellStart"/>
      <w:r w:rsidRPr="00036097">
        <w:rPr>
          <w:rFonts w:eastAsia="Century Schoolbook"/>
        </w:rPr>
        <w:t>Schizer</w:t>
      </w:r>
      <w:proofErr w:type="spellEnd"/>
      <w:r w:rsidRPr="00036097">
        <w:rPr>
          <w:rFonts w:eastAsia="Century Schoolbook"/>
        </w:rPr>
        <w:t>,</w:t>
      </w:r>
      <w:r w:rsidRPr="00036097">
        <w:rPr>
          <w:rFonts w:eastAsia="Century Schoolbook"/>
          <w:i/>
        </w:rPr>
        <w:t xml:space="preserve"> supra </w:t>
      </w:r>
      <w:r w:rsidRPr="00036097">
        <w:rPr>
          <w:rFonts w:eastAsia="Century Schoolbook"/>
        </w:rPr>
        <w:t xml:space="preserve">note </w:t>
      </w:r>
      <w:r w:rsidRPr="00036097">
        <w:rPr>
          <w:rFonts w:eastAsia="Century Schoolbook"/>
        </w:rPr>
        <w:fldChar w:fldCharType="begin"/>
      </w:r>
      <w:r w:rsidRPr="00036097">
        <w:rPr>
          <w:rFonts w:eastAsia="Century Schoolbook"/>
        </w:rPr>
        <w:instrText xml:space="preserve"> NOTEREF _Ref115037095 \h  \* MERGEFORMAT </w:instrText>
      </w:r>
      <w:r w:rsidRPr="00036097">
        <w:rPr>
          <w:rFonts w:eastAsia="Century Schoolbook"/>
        </w:rPr>
      </w:r>
      <w:r w:rsidRPr="00036097">
        <w:rPr>
          <w:rFonts w:eastAsia="Century Schoolbook"/>
        </w:rPr>
        <w:fldChar w:fldCharType="separate"/>
      </w:r>
      <w:r>
        <w:rPr>
          <w:rFonts w:eastAsia="Century Schoolbook"/>
        </w:rPr>
        <w:t>38</w:t>
      </w:r>
      <w:r w:rsidRPr="00036097">
        <w:rPr>
          <w:rFonts w:eastAsia="Century Schoolbook"/>
        </w:rPr>
        <w:fldChar w:fldCharType="end"/>
      </w:r>
      <w:r w:rsidRPr="00036097">
        <w:rPr>
          <w:rFonts w:eastAsia="Century Schoolbook"/>
        </w:rPr>
        <w:t xml:space="preserve">, at 1555–56. </w:t>
      </w:r>
    </w:p>
  </w:footnote>
  <w:footnote w:id="56">
    <w:p w14:paraId="55C917FE" w14:textId="7C56BB95" w:rsidR="006E30B5" w:rsidRPr="009F549F" w:rsidRDefault="006E30B5" w:rsidP="009F549F">
      <w:pPr>
        <w:autoSpaceDE w:val="0"/>
        <w:autoSpaceDN w:val="0"/>
        <w:adjustRightInd w:val="0"/>
        <w:rPr>
          <w:rFonts w:eastAsia="Arial"/>
        </w:rPr>
      </w:pPr>
      <w:r w:rsidRPr="009F549F">
        <w:rPr>
          <w:vertAlign w:val="superscript"/>
        </w:rPr>
        <w:footnoteRef/>
      </w:r>
      <w:r w:rsidRPr="00036097">
        <w:rPr>
          <w:rFonts w:eastAsia="Century Schoolbook"/>
        </w:rPr>
        <w:t xml:space="preserve"> </w:t>
      </w:r>
      <w:r w:rsidRPr="00174429">
        <w:rPr>
          <w:rFonts w:eastAsia="Century Schoolbook"/>
          <w:i/>
          <w:iCs/>
        </w:rPr>
        <w:t>See</w:t>
      </w:r>
      <w:r w:rsidRPr="009F549F">
        <w:rPr>
          <w:rFonts w:eastAsia="Century Schoolbook"/>
        </w:rPr>
        <w:t xml:space="preserve"> Lawrence </w:t>
      </w:r>
      <w:proofErr w:type="spellStart"/>
      <w:r w:rsidRPr="009F549F">
        <w:rPr>
          <w:rFonts w:eastAsia="Century Schoolbook"/>
        </w:rPr>
        <w:t>Zelenak</w:t>
      </w:r>
      <w:proofErr w:type="spellEnd"/>
      <w:r w:rsidRPr="009F549F">
        <w:rPr>
          <w:rFonts w:eastAsia="Century Schoolbook"/>
        </w:rPr>
        <w:t xml:space="preserve">, </w:t>
      </w:r>
      <w:r w:rsidRPr="009F549F">
        <w:rPr>
          <w:rFonts w:eastAsia="Century Schoolbook"/>
          <w:i/>
        </w:rPr>
        <w:t>Taxing Gains at Death</w:t>
      </w:r>
      <w:r w:rsidRPr="009F549F">
        <w:rPr>
          <w:rFonts w:eastAsia="Century Schoolbook"/>
        </w:rPr>
        <w:t xml:space="preserve">, 46 </w:t>
      </w:r>
      <w:proofErr w:type="spellStart"/>
      <w:r w:rsidRPr="009F549F">
        <w:rPr>
          <w:rFonts w:eastAsia="Century Schoolbook"/>
          <w:smallCaps/>
        </w:rPr>
        <w:t>Vand</w:t>
      </w:r>
      <w:proofErr w:type="spellEnd"/>
      <w:r w:rsidRPr="009F549F">
        <w:rPr>
          <w:rFonts w:eastAsia="Century Schoolbook"/>
          <w:smallCaps/>
        </w:rPr>
        <w:t>. L. Rev</w:t>
      </w:r>
      <w:r w:rsidRPr="009F549F">
        <w:rPr>
          <w:rFonts w:eastAsia="Century Schoolbook"/>
        </w:rPr>
        <w:t xml:space="preserve">. </w:t>
      </w:r>
      <w:r w:rsidRPr="009F549F">
        <w:rPr>
          <w:rFonts w:eastAsia="Century Schoolbook"/>
        </w:rPr>
        <w:t>361, 363 (1993</w:t>
      </w:r>
      <w:r w:rsidRPr="00036097">
        <w:rPr>
          <w:rFonts w:eastAsia="Century Schoolbook"/>
        </w:rPr>
        <w:t>)</w:t>
      </w:r>
      <w:r w:rsidRPr="00036097">
        <w:rPr>
          <w:rFonts w:eastAsia="Arial"/>
        </w:rPr>
        <w:t>.</w:t>
      </w:r>
    </w:p>
  </w:footnote>
  <w:footnote w:id="57">
    <w:p w14:paraId="1EAA4258" w14:textId="637D7AF7" w:rsidR="006E30B5" w:rsidRPr="009F549F" w:rsidRDefault="006E30B5">
      <w:pPr>
        <w:rPr>
          <w:rFonts w:eastAsia="Century Schoolbook"/>
        </w:rPr>
      </w:pPr>
      <w:r w:rsidRPr="009F549F">
        <w:rPr>
          <w:vertAlign w:val="superscript"/>
        </w:rPr>
        <w:footnoteRef/>
      </w:r>
      <w:r w:rsidRPr="009F549F">
        <w:rPr>
          <w:rFonts w:eastAsia="Century Schoolbook"/>
        </w:rPr>
        <w:t xml:space="preserve"> </w:t>
      </w:r>
      <w:r w:rsidRPr="00036097">
        <w:rPr>
          <w:rFonts w:eastAsia="Century Schoolbook"/>
          <w:i/>
        </w:rPr>
        <w:t>See id</w:t>
      </w:r>
      <w:r w:rsidRPr="009F549F">
        <w:rPr>
          <w:rFonts w:eastAsia="Century Schoolbook"/>
          <w:i/>
        </w:rPr>
        <w:t>.</w:t>
      </w:r>
      <w:r w:rsidRPr="009F549F">
        <w:rPr>
          <w:rFonts w:eastAsia="Century Schoolbook"/>
        </w:rPr>
        <w:t xml:space="preserve"> at </w:t>
      </w:r>
      <w:r w:rsidRPr="00036097">
        <w:rPr>
          <w:rFonts w:eastAsia="Century Schoolbook"/>
        </w:rPr>
        <w:t xml:space="preserve">363–64. </w:t>
      </w:r>
    </w:p>
  </w:footnote>
  <w:footnote w:id="58">
    <w:p w14:paraId="04BFDFFF" w14:textId="1F9716AC" w:rsidR="006E30B5" w:rsidRPr="009F549F" w:rsidRDefault="006E30B5">
      <w:pPr>
        <w:rPr>
          <w:rFonts w:eastAsia="Century Schoolbook"/>
        </w:rPr>
      </w:pPr>
      <w:r w:rsidRPr="009F549F">
        <w:rPr>
          <w:vertAlign w:val="superscript"/>
        </w:rPr>
        <w:footnoteRef/>
      </w:r>
      <w:r w:rsidRPr="009F549F">
        <w:rPr>
          <w:rFonts w:eastAsia="Century Schoolbook"/>
        </w:rPr>
        <w:t xml:space="preserve"> Gerald </w:t>
      </w:r>
      <w:proofErr w:type="spellStart"/>
      <w:r w:rsidRPr="009F549F">
        <w:rPr>
          <w:rFonts w:eastAsia="Century Schoolbook"/>
        </w:rPr>
        <w:t>Auten</w:t>
      </w:r>
      <w:proofErr w:type="spellEnd"/>
      <w:r w:rsidRPr="009F549F">
        <w:rPr>
          <w:rFonts w:eastAsia="Century Schoolbook"/>
        </w:rPr>
        <w:t xml:space="preserve"> &amp; David </w:t>
      </w:r>
      <w:proofErr w:type="spellStart"/>
      <w:r w:rsidRPr="009F549F">
        <w:rPr>
          <w:rFonts w:eastAsia="Century Schoolbook"/>
        </w:rPr>
        <w:t>Joulfaian</w:t>
      </w:r>
      <w:proofErr w:type="spellEnd"/>
      <w:r w:rsidRPr="009F549F">
        <w:rPr>
          <w:rFonts w:eastAsia="Century Schoolbook"/>
        </w:rPr>
        <w:t xml:space="preserve">, </w:t>
      </w:r>
      <w:r w:rsidRPr="009F549F">
        <w:rPr>
          <w:rFonts w:eastAsia="Century Schoolbook"/>
          <w:i/>
        </w:rPr>
        <w:t xml:space="preserve">Bequest </w:t>
      </w:r>
      <w:r w:rsidRPr="00036097">
        <w:rPr>
          <w:rFonts w:eastAsia="Century Schoolbook"/>
          <w:i/>
        </w:rPr>
        <w:t>Taxes</w:t>
      </w:r>
      <w:r w:rsidRPr="009F549F">
        <w:rPr>
          <w:rFonts w:eastAsia="Century Schoolbook"/>
          <w:i/>
        </w:rPr>
        <w:t xml:space="preserve"> and </w:t>
      </w:r>
      <w:r w:rsidRPr="00036097">
        <w:rPr>
          <w:rFonts w:eastAsia="Century Schoolbook"/>
          <w:i/>
        </w:rPr>
        <w:t>Capital Gains Realizations</w:t>
      </w:r>
      <w:r w:rsidRPr="009F549F">
        <w:rPr>
          <w:rFonts w:eastAsia="Century Schoolbook"/>
        </w:rPr>
        <w:t>, 81 J</w:t>
      </w:r>
      <w:r w:rsidRPr="009F549F">
        <w:rPr>
          <w:rFonts w:eastAsia="Century Schoolbook"/>
          <w:smallCaps/>
        </w:rPr>
        <w:t>. Pub. Econ</w:t>
      </w:r>
      <w:r w:rsidRPr="009F549F">
        <w:rPr>
          <w:rFonts w:eastAsia="Century Schoolbook"/>
        </w:rPr>
        <w:t xml:space="preserve">. 213, 213 (2001). The rising share of investment assets held in tax-free retirement accounts, however, may somewhat dampen the impact of lock-in. </w:t>
      </w:r>
      <w:r w:rsidRPr="00174429">
        <w:rPr>
          <w:rFonts w:eastAsia="Century Schoolbook"/>
          <w:i/>
          <w:iCs/>
        </w:rPr>
        <w:t>See</w:t>
      </w:r>
      <w:r w:rsidRPr="00036097">
        <w:rPr>
          <w:rFonts w:eastAsia="Century Schoolbook"/>
        </w:rPr>
        <w:t xml:space="preserve"> </w:t>
      </w:r>
      <w:r w:rsidRPr="009F549F">
        <w:rPr>
          <w:rFonts w:eastAsia="Century Schoolbook"/>
        </w:rPr>
        <w:t xml:space="preserve">Leonard E. Burman, Kimberly A. </w:t>
      </w:r>
      <w:proofErr w:type="spellStart"/>
      <w:r w:rsidRPr="009F549F">
        <w:rPr>
          <w:rFonts w:eastAsia="Century Schoolbook"/>
        </w:rPr>
        <w:t>Clausing</w:t>
      </w:r>
      <w:proofErr w:type="spellEnd"/>
      <w:r w:rsidRPr="009F549F">
        <w:rPr>
          <w:rFonts w:eastAsia="Century Schoolbook"/>
        </w:rPr>
        <w:t xml:space="preserve"> &amp; Lydia Austin, </w:t>
      </w:r>
      <w:r w:rsidRPr="009F549F">
        <w:rPr>
          <w:rFonts w:eastAsia="Century Schoolbook"/>
          <w:i/>
        </w:rPr>
        <w:t>Is U.S. Corporate Income Double-Taxed?</w:t>
      </w:r>
      <w:r w:rsidRPr="009F549F">
        <w:rPr>
          <w:rFonts w:eastAsia="Century Schoolbook"/>
        </w:rPr>
        <w:t xml:space="preserve">, 70 </w:t>
      </w:r>
      <w:r w:rsidRPr="009F549F">
        <w:rPr>
          <w:rFonts w:eastAsia="Century Schoolbook"/>
          <w:smallCaps/>
        </w:rPr>
        <w:t>Nat’l Tax J.</w:t>
      </w:r>
      <w:r w:rsidRPr="009F549F">
        <w:rPr>
          <w:rFonts w:eastAsia="Century Schoolbook"/>
        </w:rPr>
        <w:t xml:space="preserve"> 675, 699 (2017</w:t>
      </w:r>
      <w:r w:rsidRPr="00036097">
        <w:rPr>
          <w:rFonts w:eastAsia="Century Schoolbook"/>
        </w:rPr>
        <w:t>).</w:t>
      </w:r>
    </w:p>
  </w:footnote>
  <w:footnote w:id="59">
    <w:p w14:paraId="5000EBB0" w14:textId="2782155A" w:rsidR="006E30B5" w:rsidRPr="009F549F" w:rsidRDefault="006E30B5">
      <w:pPr>
        <w:rPr>
          <w:rFonts w:eastAsia="Century Schoolbook"/>
        </w:rPr>
      </w:pPr>
      <w:r w:rsidRPr="009F549F">
        <w:rPr>
          <w:vertAlign w:val="superscript"/>
        </w:rPr>
        <w:footnoteRef/>
      </w:r>
      <w:r w:rsidRPr="009F549F">
        <w:rPr>
          <w:rFonts w:eastAsia="Century Schoolbook"/>
        </w:rPr>
        <w:t xml:space="preserve"> I.R.C. § 1001(a). </w:t>
      </w:r>
    </w:p>
  </w:footnote>
  <w:footnote w:id="60">
    <w:p w14:paraId="4E5EA5AA" w14:textId="6596AFF3" w:rsidR="006E30B5" w:rsidRPr="009F549F" w:rsidRDefault="006E30B5">
      <w:pPr>
        <w:rPr>
          <w:rFonts w:eastAsia="Century Schoolbook"/>
        </w:rPr>
      </w:pPr>
      <w:r w:rsidRPr="009F549F">
        <w:rPr>
          <w:vertAlign w:val="superscript"/>
        </w:rPr>
        <w:footnoteRef/>
      </w:r>
      <w:r w:rsidRPr="00036097">
        <w:rPr>
          <w:rFonts w:eastAsia="Century Schoolbook"/>
        </w:rPr>
        <w:t xml:space="preserve"> </w:t>
      </w:r>
      <w:r w:rsidRPr="00802665">
        <w:rPr>
          <w:rFonts w:eastAsia="Century Schoolbook"/>
          <w:i/>
          <w:iCs/>
        </w:rPr>
        <w:t>See</w:t>
      </w:r>
      <w:r w:rsidRPr="009F549F">
        <w:rPr>
          <w:rFonts w:eastAsia="Century Schoolbook"/>
        </w:rPr>
        <w:t xml:space="preserve"> </w:t>
      </w:r>
      <w:proofErr w:type="spellStart"/>
      <w:r w:rsidRPr="009F549F">
        <w:rPr>
          <w:rFonts w:eastAsia="Century Schoolbook"/>
        </w:rPr>
        <w:t>Schizer</w:t>
      </w:r>
      <w:proofErr w:type="spellEnd"/>
      <w:r w:rsidRPr="009F549F">
        <w:rPr>
          <w:rFonts w:eastAsia="Century Schoolbook"/>
        </w:rPr>
        <w:t xml:space="preserve">, </w:t>
      </w:r>
      <w:r w:rsidRPr="009F549F">
        <w:rPr>
          <w:rFonts w:eastAsia="Century Schoolbook"/>
          <w:i/>
        </w:rPr>
        <w:t xml:space="preserve">supra </w:t>
      </w:r>
      <w:r w:rsidRPr="009F549F">
        <w:rPr>
          <w:rFonts w:eastAsia="Century Schoolbook"/>
        </w:rPr>
        <w:t xml:space="preserve">note </w:t>
      </w:r>
      <w:r w:rsidRPr="00036097">
        <w:rPr>
          <w:rFonts w:eastAsia="Century Schoolbook"/>
        </w:rPr>
        <w:fldChar w:fldCharType="begin"/>
      </w:r>
      <w:r w:rsidRPr="00036097">
        <w:rPr>
          <w:rFonts w:eastAsia="Century Schoolbook"/>
        </w:rPr>
        <w:instrText xml:space="preserve"> NOTEREF _Ref115037095 \h  \* MERGEFORMAT </w:instrText>
      </w:r>
      <w:r w:rsidRPr="00036097">
        <w:rPr>
          <w:rFonts w:eastAsia="Century Schoolbook"/>
        </w:rPr>
      </w:r>
      <w:r w:rsidRPr="00036097">
        <w:rPr>
          <w:rFonts w:eastAsia="Century Schoolbook"/>
        </w:rPr>
        <w:fldChar w:fldCharType="separate"/>
      </w:r>
      <w:r>
        <w:rPr>
          <w:rFonts w:eastAsia="Century Schoolbook"/>
        </w:rPr>
        <w:t>38</w:t>
      </w:r>
      <w:r w:rsidRPr="00036097">
        <w:rPr>
          <w:rFonts w:eastAsia="Century Schoolbook"/>
        </w:rPr>
        <w:fldChar w:fldCharType="end"/>
      </w:r>
      <w:r w:rsidRPr="00036097">
        <w:rPr>
          <w:rFonts w:eastAsia="Century Schoolbook"/>
        </w:rPr>
        <w:t>,</w:t>
      </w:r>
      <w:r w:rsidRPr="009F549F">
        <w:rPr>
          <w:rFonts w:eastAsia="Century Schoolbook"/>
        </w:rPr>
        <w:t xml:space="preserve"> at </w:t>
      </w:r>
      <w:r w:rsidRPr="00036097">
        <w:rPr>
          <w:rFonts w:eastAsia="Century Schoolbook"/>
        </w:rPr>
        <w:t xml:space="preserve">1557–58. </w:t>
      </w:r>
    </w:p>
  </w:footnote>
  <w:footnote w:id="61">
    <w:p w14:paraId="200645B9" w14:textId="55E4A343" w:rsidR="006E30B5" w:rsidRPr="009F549F" w:rsidRDefault="006E30B5">
      <w:pPr>
        <w:rPr>
          <w:rFonts w:eastAsia="Century Schoolbook"/>
        </w:rPr>
      </w:pPr>
      <w:r w:rsidRPr="009F549F">
        <w:rPr>
          <w:vertAlign w:val="superscript"/>
        </w:rPr>
        <w:footnoteRef/>
      </w:r>
      <w:r w:rsidRPr="009F549F">
        <w:rPr>
          <w:rFonts w:eastAsia="Century Schoolbook"/>
        </w:rPr>
        <w:t xml:space="preserve"> Alan J. Auerbach &amp; James Poterba, </w:t>
      </w:r>
      <w:r w:rsidRPr="009F549F">
        <w:rPr>
          <w:rFonts w:eastAsia="Century Schoolbook"/>
          <w:i/>
        </w:rPr>
        <w:t>Capital Gains Taxation in the United States: Realizations, Revenue, and Rhetoric</w:t>
      </w:r>
      <w:r w:rsidRPr="009F549F">
        <w:rPr>
          <w:rFonts w:eastAsia="Century Schoolbook"/>
        </w:rPr>
        <w:t xml:space="preserve">, 2 </w:t>
      </w:r>
      <w:r w:rsidRPr="009F549F">
        <w:rPr>
          <w:rFonts w:eastAsia="Century Schoolbook"/>
          <w:smallCaps/>
        </w:rPr>
        <w:t>Brookings Papers on Econ. Activity</w:t>
      </w:r>
      <w:r w:rsidRPr="009F549F">
        <w:rPr>
          <w:rFonts w:eastAsia="Century Schoolbook"/>
        </w:rPr>
        <w:t xml:space="preserve"> 595, 622 (1988).</w:t>
      </w:r>
      <w:r w:rsidRPr="00802665">
        <w:rPr>
          <w:rFonts w:eastAsia="Century Schoolbook"/>
          <w:b/>
          <w:bCs/>
        </w:rPr>
        <w:t xml:space="preserve"> </w:t>
      </w:r>
    </w:p>
  </w:footnote>
  <w:footnote w:id="62">
    <w:p w14:paraId="2BAD9151" w14:textId="15BBA2F9" w:rsidR="006E30B5" w:rsidRPr="009F549F" w:rsidRDefault="006E30B5">
      <w:pPr>
        <w:rPr>
          <w:rFonts w:eastAsia="Century Schoolbook"/>
        </w:rPr>
      </w:pPr>
      <w:r w:rsidRPr="009F549F">
        <w:rPr>
          <w:vertAlign w:val="superscript"/>
        </w:rPr>
        <w:footnoteRef/>
      </w:r>
      <w:r w:rsidRPr="00036097">
        <w:rPr>
          <w:rFonts w:eastAsia="Century Schoolbook"/>
        </w:rPr>
        <w:t xml:space="preserve"> </w:t>
      </w:r>
      <w:r w:rsidRPr="001E6E59">
        <w:rPr>
          <w:rFonts w:eastAsia="Century Schoolbook"/>
          <w:i/>
          <w:iCs/>
        </w:rPr>
        <w:t>See</w:t>
      </w:r>
      <w:r w:rsidRPr="00036097">
        <w:rPr>
          <w:rFonts w:eastAsia="Century Schoolbook"/>
        </w:rPr>
        <w:t xml:space="preserve"> </w:t>
      </w:r>
      <w:proofErr w:type="spellStart"/>
      <w:r w:rsidRPr="00036097">
        <w:rPr>
          <w:rFonts w:eastAsia="Century Schoolbook"/>
        </w:rPr>
        <w:t>Schizer</w:t>
      </w:r>
      <w:proofErr w:type="spellEnd"/>
      <w:r w:rsidRPr="00036097">
        <w:rPr>
          <w:rFonts w:eastAsia="Century Schoolbook"/>
        </w:rPr>
        <w:t xml:space="preserve">, </w:t>
      </w:r>
      <w:r w:rsidRPr="00036097">
        <w:rPr>
          <w:rFonts w:eastAsia="Century Schoolbook"/>
          <w:i/>
        </w:rPr>
        <w:t xml:space="preserve">supra </w:t>
      </w:r>
      <w:r w:rsidRPr="00036097">
        <w:rPr>
          <w:rFonts w:eastAsia="Century Schoolbook"/>
        </w:rPr>
        <w:t xml:space="preserve">note </w:t>
      </w:r>
      <w:r w:rsidRPr="00036097">
        <w:rPr>
          <w:rFonts w:eastAsia="Century Schoolbook"/>
        </w:rPr>
        <w:fldChar w:fldCharType="begin"/>
      </w:r>
      <w:r w:rsidRPr="00036097">
        <w:rPr>
          <w:rFonts w:eastAsia="Century Schoolbook"/>
        </w:rPr>
        <w:instrText xml:space="preserve"> NOTEREF _Ref115037095 \h  \* MERGEFORMAT </w:instrText>
      </w:r>
      <w:r w:rsidRPr="00036097">
        <w:rPr>
          <w:rFonts w:eastAsia="Century Schoolbook"/>
        </w:rPr>
      </w:r>
      <w:r w:rsidRPr="00036097">
        <w:rPr>
          <w:rFonts w:eastAsia="Century Schoolbook"/>
        </w:rPr>
        <w:fldChar w:fldCharType="separate"/>
      </w:r>
      <w:r>
        <w:rPr>
          <w:rFonts w:eastAsia="Century Schoolbook"/>
        </w:rPr>
        <w:t>38</w:t>
      </w:r>
      <w:r w:rsidRPr="00036097">
        <w:rPr>
          <w:rFonts w:eastAsia="Century Schoolbook"/>
        </w:rPr>
        <w:fldChar w:fldCharType="end"/>
      </w:r>
      <w:r w:rsidRPr="00036097">
        <w:rPr>
          <w:rFonts w:eastAsia="Century Schoolbook"/>
        </w:rPr>
        <w:t>, at 1610.</w:t>
      </w:r>
    </w:p>
  </w:footnote>
  <w:footnote w:id="63">
    <w:p w14:paraId="3CAC925D" w14:textId="47D3DCC2" w:rsidR="006E30B5" w:rsidRPr="009F549F" w:rsidRDefault="006E30B5">
      <w:pPr>
        <w:rPr>
          <w:rFonts w:eastAsia="Century Schoolbook"/>
        </w:rPr>
      </w:pPr>
      <w:r w:rsidRPr="009F549F">
        <w:rPr>
          <w:vertAlign w:val="superscript"/>
        </w:rPr>
        <w:footnoteRef/>
      </w:r>
      <w:r w:rsidRPr="009F549F">
        <w:rPr>
          <w:rFonts w:eastAsia="Century Schoolbook"/>
        </w:rPr>
        <w:t xml:space="preserve"> </w:t>
      </w:r>
      <w:r w:rsidRPr="009F549F">
        <w:rPr>
          <w:rFonts w:eastAsia="Century Schoolbook"/>
          <w:i/>
        </w:rPr>
        <w:t>Id.</w:t>
      </w:r>
      <w:r w:rsidRPr="009F549F">
        <w:rPr>
          <w:rFonts w:eastAsia="Century Schoolbook"/>
        </w:rPr>
        <w:t xml:space="preserve"> A somewhat skeptical account of the magnitude of the lock-in problem, at least for publicly traded assets, is </w:t>
      </w:r>
      <w:r>
        <w:rPr>
          <w:rFonts w:eastAsia="Century Schoolbook"/>
        </w:rPr>
        <w:t xml:space="preserve">given by </w:t>
      </w:r>
      <w:r w:rsidRPr="009F549F">
        <w:rPr>
          <w:rFonts w:eastAsia="Century Schoolbook"/>
        </w:rPr>
        <w:t xml:space="preserve">Jeff </w:t>
      </w:r>
      <w:proofErr w:type="spellStart"/>
      <w:r w:rsidRPr="009F549F">
        <w:rPr>
          <w:rFonts w:eastAsia="Century Schoolbook"/>
        </w:rPr>
        <w:t>Strnad</w:t>
      </w:r>
      <w:proofErr w:type="spellEnd"/>
      <w:r w:rsidRPr="009F549F">
        <w:rPr>
          <w:rFonts w:eastAsia="Century Schoolbook"/>
        </w:rPr>
        <w:t xml:space="preserve">, </w:t>
      </w:r>
      <w:r w:rsidRPr="009F549F">
        <w:rPr>
          <w:rFonts w:eastAsia="Century Schoolbook"/>
          <w:i/>
        </w:rPr>
        <w:t>Periodicity and Accretion Taxation: Norms and Implementation</w:t>
      </w:r>
      <w:r w:rsidRPr="009F549F">
        <w:rPr>
          <w:rFonts w:eastAsia="Century Schoolbook"/>
        </w:rPr>
        <w:t xml:space="preserve">, 99 </w:t>
      </w:r>
      <w:r w:rsidRPr="009F549F">
        <w:rPr>
          <w:rFonts w:eastAsia="Century Schoolbook"/>
          <w:smallCaps/>
        </w:rPr>
        <w:t>Yale</w:t>
      </w:r>
      <w:r w:rsidRPr="009F549F">
        <w:rPr>
          <w:rFonts w:eastAsia="Century Schoolbook"/>
        </w:rPr>
        <w:t xml:space="preserve"> L.J. 1817, 1885 (1990).</w:t>
      </w:r>
    </w:p>
  </w:footnote>
  <w:footnote w:id="64">
    <w:p w14:paraId="4377CDA1" w14:textId="5F63585B" w:rsidR="006E30B5" w:rsidRPr="009F549F" w:rsidRDefault="006E30B5">
      <w:pPr>
        <w:rPr>
          <w:rFonts w:eastAsia="Century Schoolbook"/>
        </w:rPr>
      </w:pPr>
      <w:r w:rsidRPr="009F549F">
        <w:rPr>
          <w:vertAlign w:val="superscript"/>
        </w:rPr>
        <w:footnoteRef/>
      </w:r>
      <w:r w:rsidRPr="00036097">
        <w:rPr>
          <w:rFonts w:eastAsia="Century Schoolbook"/>
        </w:rPr>
        <w:t xml:space="preserve"> </w:t>
      </w:r>
      <w:r w:rsidRPr="001E6E59">
        <w:rPr>
          <w:rFonts w:eastAsia="Century Schoolbook"/>
          <w:i/>
          <w:iCs/>
        </w:rPr>
        <w:t>See</w:t>
      </w:r>
      <w:r w:rsidRPr="009F549F">
        <w:rPr>
          <w:rFonts w:eastAsia="Century Schoolbook"/>
        </w:rPr>
        <w:t xml:space="preserve"> </w:t>
      </w:r>
      <w:proofErr w:type="spellStart"/>
      <w:r w:rsidRPr="009F549F">
        <w:rPr>
          <w:rFonts w:eastAsia="Century Schoolbook"/>
        </w:rPr>
        <w:t>Benshalom</w:t>
      </w:r>
      <w:proofErr w:type="spellEnd"/>
      <w:r w:rsidRPr="009F549F">
        <w:rPr>
          <w:rFonts w:eastAsia="Century Schoolbook"/>
        </w:rPr>
        <w:t xml:space="preserve"> &amp; Stead, </w:t>
      </w:r>
      <w:r w:rsidRPr="009F549F">
        <w:rPr>
          <w:rFonts w:eastAsia="Century Schoolbook"/>
          <w:i/>
        </w:rPr>
        <w:t>supra</w:t>
      </w:r>
      <w:r w:rsidRPr="009F549F">
        <w:rPr>
          <w:rFonts w:eastAsia="Century Schoolbook"/>
        </w:rPr>
        <w:t xml:space="preserve"> note </w:t>
      </w:r>
      <w:r w:rsidRPr="00036097">
        <w:rPr>
          <w:rFonts w:eastAsia="Century Schoolbook"/>
        </w:rPr>
        <w:fldChar w:fldCharType="begin"/>
      </w:r>
      <w:r w:rsidRPr="00036097">
        <w:rPr>
          <w:rFonts w:eastAsia="Century Schoolbook"/>
        </w:rPr>
        <w:instrText xml:space="preserve"> NOTEREF _Ref115301504 \h  \* MERGEFORMAT </w:instrText>
      </w:r>
      <w:r w:rsidRPr="00036097">
        <w:rPr>
          <w:rFonts w:eastAsia="Century Schoolbook"/>
        </w:rPr>
      </w:r>
      <w:r w:rsidRPr="00036097">
        <w:rPr>
          <w:rFonts w:eastAsia="Century Schoolbook"/>
        </w:rPr>
        <w:fldChar w:fldCharType="separate"/>
      </w:r>
      <w:r>
        <w:rPr>
          <w:rFonts w:eastAsia="Century Schoolbook"/>
        </w:rPr>
        <w:t>48</w:t>
      </w:r>
      <w:r w:rsidRPr="00036097">
        <w:rPr>
          <w:rFonts w:eastAsia="Century Schoolbook"/>
        </w:rPr>
        <w:fldChar w:fldCharType="end"/>
      </w:r>
      <w:r w:rsidRPr="00036097">
        <w:rPr>
          <w:rFonts w:eastAsia="Century Schoolbook"/>
        </w:rPr>
        <w:t>,</w:t>
      </w:r>
      <w:r w:rsidRPr="009F549F">
        <w:rPr>
          <w:rFonts w:eastAsia="Century Schoolbook"/>
        </w:rPr>
        <w:t xml:space="preserve"> at 52; Ari Glogower, </w:t>
      </w:r>
      <w:r w:rsidRPr="009F549F">
        <w:rPr>
          <w:rFonts w:eastAsia="Century Schoolbook"/>
          <w:i/>
        </w:rPr>
        <w:t>Taxing Capital Appreciation</w:t>
      </w:r>
      <w:r w:rsidRPr="009F549F">
        <w:rPr>
          <w:rFonts w:eastAsia="Century Schoolbook"/>
        </w:rPr>
        <w:t xml:space="preserve">, 70 </w:t>
      </w:r>
      <w:r w:rsidRPr="009F549F">
        <w:rPr>
          <w:rFonts w:eastAsia="Century Schoolbook"/>
          <w:smallCaps/>
        </w:rPr>
        <w:t>Tax L. Rev</w:t>
      </w:r>
      <w:r w:rsidRPr="009F549F">
        <w:rPr>
          <w:rFonts w:eastAsia="Century Schoolbook"/>
        </w:rPr>
        <w:t>. 111, 116–21 (2016).</w:t>
      </w:r>
    </w:p>
  </w:footnote>
  <w:footnote w:id="65">
    <w:p w14:paraId="66187D24" w14:textId="4F2BC7A8" w:rsidR="006E30B5" w:rsidRPr="009F549F" w:rsidRDefault="006E30B5">
      <w:pPr>
        <w:rPr>
          <w:rFonts w:eastAsia="Century Schoolbook"/>
        </w:rPr>
      </w:pPr>
      <w:r w:rsidRPr="009F549F">
        <w:rPr>
          <w:vertAlign w:val="superscript"/>
        </w:rPr>
        <w:footnoteRef/>
      </w:r>
      <w:r w:rsidRPr="009F549F">
        <w:rPr>
          <w:rFonts w:eastAsia="Century Schoolbook"/>
        </w:rPr>
        <w:t xml:space="preserve"> </w:t>
      </w:r>
      <w:r w:rsidRPr="001E6E59">
        <w:rPr>
          <w:rFonts w:eastAsia="Century Schoolbook"/>
          <w:i/>
        </w:rPr>
        <w:t>See generally</w:t>
      </w:r>
      <w:r w:rsidRPr="009F549F">
        <w:rPr>
          <w:rFonts w:eastAsia="Century Schoolbook"/>
          <w:i/>
        </w:rPr>
        <w:t xml:space="preserve"> </w:t>
      </w:r>
      <w:r w:rsidRPr="009F549F">
        <w:rPr>
          <w:rFonts w:eastAsia="Century Schoolbook"/>
        </w:rPr>
        <w:t xml:space="preserve">Maynard &amp; Gamage, </w:t>
      </w:r>
      <w:r w:rsidRPr="009F549F">
        <w:rPr>
          <w:rFonts w:eastAsia="Century Schoolbook"/>
          <w:i/>
        </w:rPr>
        <w:t>supra</w:t>
      </w:r>
      <w:r w:rsidRPr="009F549F">
        <w:rPr>
          <w:rFonts w:eastAsia="Century Schoolbook"/>
        </w:rPr>
        <w:t xml:space="preserve"> note </w:t>
      </w:r>
      <w:r w:rsidRPr="00036097">
        <w:rPr>
          <w:rFonts w:eastAsia="Century Schoolbook"/>
        </w:rPr>
        <w:fldChar w:fldCharType="begin"/>
      </w:r>
      <w:r w:rsidRPr="00036097">
        <w:rPr>
          <w:rFonts w:eastAsia="Century Schoolbook"/>
        </w:rPr>
        <w:instrText xml:space="preserve"> NOTEREF _Ref115336225 \h  \* MERGEFORMAT </w:instrText>
      </w:r>
      <w:r w:rsidRPr="00036097">
        <w:rPr>
          <w:rFonts w:eastAsia="Century Schoolbook"/>
        </w:rPr>
      </w:r>
      <w:r w:rsidRPr="00036097">
        <w:rPr>
          <w:rFonts w:eastAsia="Century Schoolbook"/>
        </w:rPr>
        <w:fldChar w:fldCharType="separate"/>
      </w:r>
      <w:r>
        <w:rPr>
          <w:rFonts w:eastAsia="Century Schoolbook"/>
        </w:rPr>
        <w:t>6</w:t>
      </w:r>
      <w:r w:rsidRPr="00036097">
        <w:rPr>
          <w:rFonts w:eastAsia="Century Schoolbook"/>
        </w:rPr>
        <w:fldChar w:fldCharType="end"/>
      </w:r>
      <w:r w:rsidRPr="00036097">
        <w:rPr>
          <w:rFonts w:eastAsia="Century Schoolbook"/>
        </w:rPr>
        <w:t xml:space="preserve">; </w:t>
      </w:r>
      <w:r w:rsidRPr="001E6E59">
        <w:rPr>
          <w:rFonts w:eastAsia="Century Schoolbook"/>
          <w:i/>
          <w:iCs/>
        </w:rPr>
        <w:t>see also</w:t>
      </w:r>
      <w:r w:rsidRPr="009F549F">
        <w:rPr>
          <w:rFonts w:eastAsia="Century Schoolbook"/>
        </w:rPr>
        <w:t xml:space="preserve"> Dorothy A. Brown, </w:t>
      </w:r>
      <w:r w:rsidRPr="009F549F">
        <w:rPr>
          <w:rFonts w:eastAsia="Century Schoolbook"/>
          <w:i/>
        </w:rPr>
        <w:t>The 535 Report: A Pathway to Fundamental Tax Reform</w:t>
      </w:r>
      <w:r w:rsidRPr="009F549F">
        <w:rPr>
          <w:rFonts w:eastAsia="Century Schoolbook"/>
        </w:rPr>
        <w:t xml:space="preserve">, 40 </w:t>
      </w:r>
      <w:proofErr w:type="spellStart"/>
      <w:r w:rsidRPr="009F549F">
        <w:rPr>
          <w:rFonts w:eastAsia="Century Schoolbook"/>
          <w:smallCaps/>
        </w:rPr>
        <w:t>Pepp</w:t>
      </w:r>
      <w:proofErr w:type="spellEnd"/>
      <w:r w:rsidRPr="009F549F">
        <w:rPr>
          <w:rFonts w:eastAsia="Century Schoolbook"/>
          <w:smallCaps/>
        </w:rPr>
        <w:t>. L. Rev.</w:t>
      </w:r>
      <w:r w:rsidRPr="009F549F">
        <w:rPr>
          <w:rFonts w:eastAsia="Century Schoolbook"/>
        </w:rPr>
        <w:t xml:space="preserve"> 1155, 1162–63 (2013).</w:t>
      </w:r>
      <w:r w:rsidRPr="00036097">
        <w:rPr>
          <w:rFonts w:eastAsia="Century Schoolbook"/>
        </w:rPr>
        <w:t xml:space="preserve"> </w:t>
      </w:r>
    </w:p>
  </w:footnote>
  <w:footnote w:id="66">
    <w:p w14:paraId="5485BE3F" w14:textId="1AFC6A52" w:rsidR="006E30B5" w:rsidRPr="009F549F" w:rsidRDefault="006E30B5">
      <w:pPr>
        <w:rPr>
          <w:rFonts w:eastAsia="Century Schoolbook"/>
        </w:rPr>
      </w:pPr>
      <w:r w:rsidRPr="009F549F">
        <w:rPr>
          <w:vertAlign w:val="superscript"/>
        </w:rPr>
        <w:footnoteRef/>
      </w:r>
      <w:r w:rsidRPr="00036097">
        <w:rPr>
          <w:rFonts w:eastAsia="Century Schoolbook"/>
        </w:rPr>
        <w:t xml:space="preserve"> </w:t>
      </w:r>
      <w:r w:rsidRPr="001E6E59">
        <w:rPr>
          <w:rFonts w:eastAsia="Century Schoolbook"/>
          <w:i/>
          <w:iCs/>
        </w:rPr>
        <w:t>See</w:t>
      </w:r>
      <w:r w:rsidRPr="009F549F">
        <w:rPr>
          <w:rFonts w:eastAsia="Century Schoolbook"/>
        </w:rPr>
        <w:t xml:space="preserve"> </w:t>
      </w:r>
      <w:r w:rsidRPr="009F549F">
        <w:rPr>
          <w:rFonts w:eastAsia="Century Schoolbook"/>
          <w:highlight w:val="white"/>
        </w:rPr>
        <w:t xml:space="preserve">George R. </w:t>
      </w:r>
      <w:proofErr w:type="spellStart"/>
      <w:r w:rsidRPr="009F549F">
        <w:rPr>
          <w:rFonts w:eastAsia="Century Schoolbook"/>
          <w:highlight w:val="white"/>
        </w:rPr>
        <w:t>Zodrow</w:t>
      </w:r>
      <w:proofErr w:type="spellEnd"/>
      <w:r w:rsidRPr="009F549F">
        <w:rPr>
          <w:rFonts w:eastAsia="Century Schoolbook"/>
          <w:highlight w:val="white"/>
        </w:rPr>
        <w:t xml:space="preserve">, </w:t>
      </w:r>
      <w:r w:rsidRPr="009F549F">
        <w:rPr>
          <w:rFonts w:eastAsia="Century Schoolbook"/>
          <w:i/>
          <w:highlight w:val="white"/>
        </w:rPr>
        <w:t>Economic Analyses of Capital Gains Taxation: Realizations, Revenues, Efficiency and Equity</w:t>
      </w:r>
      <w:r w:rsidRPr="009F549F">
        <w:rPr>
          <w:rFonts w:eastAsia="Century Schoolbook"/>
          <w:highlight w:val="white"/>
        </w:rPr>
        <w:t xml:space="preserve">, 48 </w:t>
      </w:r>
      <w:r w:rsidRPr="009F549F">
        <w:rPr>
          <w:rFonts w:eastAsia="Century Schoolbook"/>
          <w:smallCaps/>
          <w:highlight w:val="white"/>
        </w:rPr>
        <w:t>Tax L. Rev.</w:t>
      </w:r>
      <w:r w:rsidRPr="009F549F">
        <w:rPr>
          <w:rFonts w:eastAsia="Century Schoolbook"/>
          <w:highlight w:val="white"/>
        </w:rPr>
        <w:t xml:space="preserve"> </w:t>
      </w:r>
      <w:r w:rsidRPr="009F549F">
        <w:rPr>
          <w:rFonts w:eastAsia="Century Schoolbook"/>
          <w:highlight w:val="white"/>
        </w:rPr>
        <w:t xml:space="preserve">419, </w:t>
      </w:r>
      <w:r w:rsidRPr="00036097">
        <w:rPr>
          <w:rFonts w:eastAsia="Century Schoolbook"/>
          <w:highlight w:val="white"/>
        </w:rPr>
        <w:t>491</w:t>
      </w:r>
      <w:r w:rsidRPr="009F549F">
        <w:rPr>
          <w:rFonts w:eastAsia="Century Schoolbook"/>
          <w:highlight w:val="white"/>
        </w:rPr>
        <w:t xml:space="preserve"> (1993)</w:t>
      </w:r>
      <w:r w:rsidRPr="009F549F">
        <w:rPr>
          <w:rFonts w:eastAsia="Century Schoolbook"/>
        </w:rPr>
        <w:t xml:space="preserve">. Of course, we could adjust tax rates to offset this effect, </w:t>
      </w:r>
      <w:proofErr w:type="spellStart"/>
      <w:r w:rsidRPr="009F549F">
        <w:rPr>
          <w:rFonts w:eastAsia="Century Schoolbook"/>
        </w:rPr>
        <w:t>Zelinsky</w:t>
      </w:r>
      <w:proofErr w:type="spellEnd"/>
      <w:r w:rsidRPr="009F549F">
        <w:rPr>
          <w:rFonts w:eastAsia="Century Schoolbook"/>
        </w:rPr>
        <w:t xml:space="preserve">, </w:t>
      </w:r>
      <w:r w:rsidRPr="009F549F">
        <w:rPr>
          <w:rFonts w:eastAsia="Century Schoolbook"/>
          <w:i/>
        </w:rPr>
        <w:t>supra</w:t>
      </w:r>
      <w:r w:rsidRPr="009F549F">
        <w:rPr>
          <w:rFonts w:eastAsia="Century Schoolbook"/>
        </w:rPr>
        <w:t xml:space="preserve"> note </w:t>
      </w:r>
      <w:r w:rsidRPr="00036097">
        <w:rPr>
          <w:rFonts w:eastAsia="Century Schoolbook"/>
        </w:rPr>
        <w:fldChar w:fldCharType="begin"/>
      </w:r>
      <w:r w:rsidRPr="00036097">
        <w:rPr>
          <w:rFonts w:eastAsia="Century Schoolbook"/>
        </w:rPr>
        <w:instrText xml:space="preserve"> NOTEREF _Ref115211226 \h  \* MERGEFORMAT </w:instrText>
      </w:r>
      <w:r w:rsidRPr="00036097">
        <w:rPr>
          <w:rFonts w:eastAsia="Century Schoolbook"/>
        </w:rPr>
      </w:r>
      <w:r w:rsidRPr="00036097">
        <w:rPr>
          <w:rFonts w:eastAsia="Century Schoolbook"/>
        </w:rPr>
        <w:fldChar w:fldCharType="separate"/>
      </w:r>
      <w:r>
        <w:rPr>
          <w:rFonts w:eastAsia="Century Schoolbook"/>
        </w:rPr>
        <w:t>45</w:t>
      </w:r>
      <w:r w:rsidRPr="00036097">
        <w:rPr>
          <w:rFonts w:eastAsia="Century Schoolbook"/>
        </w:rPr>
        <w:fldChar w:fldCharType="end"/>
      </w:r>
      <w:r w:rsidRPr="00036097">
        <w:rPr>
          <w:rFonts w:eastAsia="Century Schoolbook"/>
        </w:rPr>
        <w:t>,</w:t>
      </w:r>
      <w:r w:rsidRPr="009F549F">
        <w:rPr>
          <w:rFonts w:eastAsia="Century Schoolbook"/>
        </w:rPr>
        <w:t xml:space="preserve"> at 910, but we </w:t>
      </w:r>
      <w:r>
        <w:rPr>
          <w:rFonts w:ascii="Century Schoolbook" w:eastAsia="Century Schoolbook" w:hAnsi="Century Schoolbook" w:cs="Century Schoolbook"/>
          <w:sz w:val="20"/>
          <w:szCs w:val="20"/>
        </w:rPr>
        <w:t>don't</w:t>
      </w:r>
      <w:r w:rsidRPr="009F549F">
        <w:rPr>
          <w:rFonts w:eastAsia="Century Schoolbook"/>
        </w:rPr>
        <w:t xml:space="preserve">; to the contrary, those with deferrable assets typically pay lower, capital gains rates, as we detail in the next paragraph. </w:t>
      </w:r>
      <w:r w:rsidRPr="009F549F">
        <w:rPr>
          <w:rFonts w:eastAsia="Century Schoolbook"/>
          <w:i/>
        </w:rPr>
        <w:t>See</w:t>
      </w:r>
      <w:r w:rsidRPr="009F549F">
        <w:rPr>
          <w:rFonts w:eastAsia="Century Schoolbook"/>
        </w:rPr>
        <w:t xml:space="preserve"> Joseph M. Dodge, </w:t>
      </w:r>
      <w:r w:rsidRPr="009F549F">
        <w:rPr>
          <w:rFonts w:eastAsia="Century Schoolbook"/>
          <w:i/>
        </w:rPr>
        <w:t>A Deemed Realization Approach is Superior to Carryover Basis (and Avoids Most of the Problems of the Estate and Gift Tax)</w:t>
      </w:r>
      <w:r w:rsidRPr="009F549F">
        <w:rPr>
          <w:rFonts w:eastAsia="Century Schoolbook"/>
        </w:rPr>
        <w:t xml:space="preserve">, 54 </w:t>
      </w:r>
      <w:r w:rsidRPr="009F549F">
        <w:rPr>
          <w:rFonts w:eastAsia="Century Schoolbook"/>
          <w:smallCaps/>
        </w:rPr>
        <w:t>Tax L. Rev.</w:t>
      </w:r>
      <w:r w:rsidRPr="009F549F">
        <w:rPr>
          <w:rFonts w:eastAsia="Century Schoolbook"/>
        </w:rPr>
        <w:t xml:space="preserve"> 421, 443 (2001) (noting this “irony”).</w:t>
      </w:r>
      <w:r w:rsidRPr="00036097">
        <w:rPr>
          <w:rFonts w:eastAsia="Century Schoolbook"/>
        </w:rPr>
        <w:t xml:space="preserve"> </w:t>
      </w:r>
    </w:p>
  </w:footnote>
  <w:footnote w:id="67">
    <w:p w14:paraId="29E04D81" w14:textId="53CEA777" w:rsidR="006E30B5" w:rsidRPr="009F549F" w:rsidRDefault="006E30B5">
      <w:pPr>
        <w:rPr>
          <w:rFonts w:eastAsia="Century Schoolbook"/>
        </w:rPr>
      </w:pPr>
      <w:r w:rsidRPr="009F549F">
        <w:rPr>
          <w:vertAlign w:val="superscript"/>
        </w:rPr>
        <w:footnoteRef/>
      </w:r>
      <w:r w:rsidRPr="009F549F">
        <w:rPr>
          <w:rFonts w:eastAsia="Century Schoolbook"/>
        </w:rPr>
        <w:t xml:space="preserve"> </w:t>
      </w:r>
      <w:r w:rsidRPr="009F549F">
        <w:rPr>
          <w:rFonts w:eastAsia="Century Schoolbook"/>
          <w:color w:val="000000" w:themeColor="text1"/>
        </w:rPr>
        <w:t xml:space="preserve">Robert Frank, </w:t>
      </w:r>
      <w:r w:rsidRPr="009F549F">
        <w:rPr>
          <w:rFonts w:eastAsia="Century Schoolbook"/>
          <w:i/>
          <w:color w:val="000000" w:themeColor="text1"/>
        </w:rPr>
        <w:t xml:space="preserve">The </w:t>
      </w:r>
      <w:r w:rsidRPr="009D621A">
        <w:rPr>
          <w:rFonts w:eastAsia="Century Schoolbook"/>
          <w:i/>
          <w:color w:val="000000" w:themeColor="text1"/>
        </w:rPr>
        <w:t>Wealthiest</w:t>
      </w:r>
      <w:r w:rsidRPr="009F549F">
        <w:rPr>
          <w:rFonts w:eastAsia="Century Schoolbook"/>
          <w:i/>
          <w:color w:val="000000" w:themeColor="text1"/>
        </w:rPr>
        <w:t xml:space="preserve"> 10% of Americans </w:t>
      </w:r>
      <w:r w:rsidRPr="009D621A">
        <w:rPr>
          <w:rFonts w:eastAsia="Century Schoolbook"/>
          <w:i/>
          <w:color w:val="000000" w:themeColor="text1"/>
        </w:rPr>
        <w:t>Own</w:t>
      </w:r>
      <w:r w:rsidRPr="009F549F">
        <w:rPr>
          <w:rFonts w:eastAsia="Century Schoolbook"/>
          <w:i/>
          <w:color w:val="000000" w:themeColor="text1"/>
        </w:rPr>
        <w:t xml:space="preserve"> a </w:t>
      </w:r>
      <w:r w:rsidRPr="009D621A">
        <w:rPr>
          <w:rFonts w:eastAsia="Century Schoolbook"/>
          <w:i/>
          <w:color w:val="000000" w:themeColor="text1"/>
        </w:rPr>
        <w:t>Record</w:t>
      </w:r>
      <w:r w:rsidRPr="009F549F">
        <w:rPr>
          <w:rFonts w:eastAsia="Century Schoolbook"/>
          <w:i/>
          <w:color w:val="000000" w:themeColor="text1"/>
        </w:rPr>
        <w:t xml:space="preserve"> 89% of </w:t>
      </w:r>
      <w:r w:rsidRPr="009D621A">
        <w:rPr>
          <w:rFonts w:eastAsia="Century Schoolbook"/>
          <w:i/>
          <w:color w:val="000000" w:themeColor="text1"/>
        </w:rPr>
        <w:t>All</w:t>
      </w:r>
      <w:r w:rsidRPr="009F549F">
        <w:rPr>
          <w:rFonts w:eastAsia="Century Schoolbook"/>
          <w:i/>
          <w:color w:val="000000" w:themeColor="text1"/>
        </w:rPr>
        <w:t xml:space="preserve"> U.S. Stocks</w:t>
      </w:r>
      <w:r w:rsidRPr="009F549F">
        <w:rPr>
          <w:rFonts w:eastAsia="Century Schoolbook"/>
          <w:color w:val="000000" w:themeColor="text1"/>
        </w:rPr>
        <w:t xml:space="preserve">, </w:t>
      </w:r>
      <w:r w:rsidRPr="009F549F">
        <w:rPr>
          <w:rFonts w:eastAsia="Century Schoolbook"/>
          <w:smallCaps/>
          <w:color w:val="000000" w:themeColor="text1"/>
        </w:rPr>
        <w:t>CNBC</w:t>
      </w:r>
      <w:r w:rsidRPr="009D621A">
        <w:rPr>
          <w:rFonts w:eastAsia="Century Schoolbook"/>
          <w:color w:val="000000" w:themeColor="text1"/>
        </w:rPr>
        <w:t xml:space="preserve"> (</w:t>
      </w:r>
      <w:r w:rsidRPr="009F549F">
        <w:rPr>
          <w:rFonts w:eastAsia="Century Schoolbook"/>
          <w:color w:val="000000" w:themeColor="text1"/>
        </w:rPr>
        <w:t xml:space="preserve">Oct. 18, 2021, </w:t>
      </w:r>
      <w:r w:rsidRPr="00036097">
        <w:rPr>
          <w:rFonts w:eastAsia="Century Schoolbook"/>
          <w:color w:val="000000" w:themeColor="text1"/>
        </w:rPr>
        <w:t>4</w:t>
      </w:r>
      <w:r w:rsidRPr="009D621A">
        <w:rPr>
          <w:rFonts w:eastAsia="Century Schoolbook"/>
          <w:color w:val="000000" w:themeColor="text1"/>
        </w:rPr>
        <w:t>:</w:t>
      </w:r>
      <w:r w:rsidRPr="00036097">
        <w:rPr>
          <w:rFonts w:eastAsia="Century Schoolbook"/>
          <w:color w:val="000000" w:themeColor="text1"/>
        </w:rPr>
        <w:t>48</w:t>
      </w:r>
      <w:r w:rsidRPr="009D621A">
        <w:rPr>
          <w:rFonts w:eastAsia="Century Schoolbook"/>
          <w:color w:val="000000" w:themeColor="text1"/>
        </w:rPr>
        <w:t xml:space="preserve"> </w:t>
      </w:r>
      <w:r w:rsidRPr="00036097">
        <w:rPr>
          <w:rFonts w:eastAsia="Century Schoolbook"/>
          <w:color w:val="000000" w:themeColor="text1"/>
        </w:rPr>
        <w:t>P</w:t>
      </w:r>
      <w:r w:rsidRPr="009D621A">
        <w:rPr>
          <w:rFonts w:eastAsia="Century Schoolbook"/>
          <w:color w:val="000000" w:themeColor="text1"/>
        </w:rPr>
        <w:t>M), https://www.cnbc.com/2021/10/18/the-wealthiest-10percent-of-americans-own-a-record-89percent-of-all-us-stocks.html [https://perma.cc/RHD7-BJ3U].</w:t>
      </w:r>
    </w:p>
  </w:footnote>
  <w:footnote w:id="68">
    <w:p w14:paraId="1D0A26CE" w14:textId="4883577D" w:rsidR="006E30B5" w:rsidRPr="009F549F" w:rsidRDefault="006E30B5">
      <w:pPr>
        <w:rPr>
          <w:rFonts w:eastAsia="Century Schoolbook"/>
        </w:rPr>
      </w:pPr>
      <w:r w:rsidRPr="009F549F">
        <w:rPr>
          <w:vertAlign w:val="superscript"/>
        </w:rPr>
        <w:footnoteRef/>
      </w:r>
      <w:r w:rsidRPr="00036097">
        <w:rPr>
          <w:rFonts w:eastAsia="Century Schoolbook"/>
        </w:rPr>
        <w:t xml:space="preserve"> </w:t>
      </w:r>
      <w:r w:rsidRPr="001E6E59">
        <w:rPr>
          <w:rFonts w:eastAsia="Century Schoolbook"/>
          <w:i/>
          <w:iCs/>
        </w:rPr>
        <w:t>See</w:t>
      </w:r>
      <w:r>
        <w:rPr>
          <w:rFonts w:eastAsia="Century Schoolbook"/>
          <w:i/>
          <w:iCs/>
        </w:rPr>
        <w:t>, e.g.</w:t>
      </w:r>
      <w:r>
        <w:rPr>
          <w:rFonts w:eastAsia="Century Schoolbook"/>
        </w:rPr>
        <w:t>,</w:t>
      </w:r>
      <w:r w:rsidRPr="00036097">
        <w:rPr>
          <w:rFonts w:eastAsia="Century Schoolbook"/>
        </w:rPr>
        <w:t xml:space="preserve"> </w:t>
      </w:r>
      <w:proofErr w:type="spellStart"/>
      <w:r w:rsidRPr="00036097">
        <w:rPr>
          <w:rFonts w:eastAsia="Century Schoolbook"/>
        </w:rPr>
        <w:t>Eisinger</w:t>
      </w:r>
      <w:proofErr w:type="spellEnd"/>
      <w:r w:rsidRPr="00036097">
        <w:rPr>
          <w:rFonts w:eastAsia="Century Schoolbook"/>
        </w:rPr>
        <w:t xml:space="preserve"> et al., </w:t>
      </w:r>
      <w:r w:rsidRPr="009D621A">
        <w:rPr>
          <w:rFonts w:eastAsia="Century Schoolbook"/>
          <w:i/>
          <w:iCs/>
        </w:rPr>
        <w:t>supra</w:t>
      </w:r>
      <w:r w:rsidRPr="00036097">
        <w:rPr>
          <w:rFonts w:eastAsia="Century Schoolbook"/>
        </w:rPr>
        <w:t xml:space="preserve"> note </w:t>
      </w:r>
      <w:r w:rsidRPr="00036097">
        <w:rPr>
          <w:rFonts w:eastAsia="Century Schoolbook"/>
        </w:rPr>
        <w:fldChar w:fldCharType="begin"/>
      </w:r>
      <w:r w:rsidRPr="00036097">
        <w:rPr>
          <w:rFonts w:eastAsia="Century Schoolbook"/>
        </w:rPr>
        <w:instrText xml:space="preserve"> NOTEREF _Ref115957885 \h  \* MERGEFORMAT </w:instrText>
      </w:r>
      <w:r w:rsidRPr="00036097">
        <w:rPr>
          <w:rFonts w:eastAsia="Century Schoolbook"/>
        </w:rPr>
      </w:r>
      <w:r w:rsidRPr="00036097">
        <w:rPr>
          <w:rFonts w:eastAsia="Century Schoolbook"/>
        </w:rPr>
        <w:fldChar w:fldCharType="separate"/>
      </w:r>
      <w:r>
        <w:rPr>
          <w:rFonts w:eastAsia="Century Schoolbook"/>
        </w:rPr>
        <w:t>19</w:t>
      </w:r>
      <w:r w:rsidRPr="00036097">
        <w:rPr>
          <w:rFonts w:eastAsia="Century Schoolbook"/>
        </w:rPr>
        <w:fldChar w:fldCharType="end"/>
      </w:r>
      <w:r w:rsidRPr="00036097">
        <w:rPr>
          <w:rFonts w:eastAsia="Century Schoolbook"/>
        </w:rPr>
        <w:t xml:space="preserve"> (reporting Bezos paid an effective tax rate of 1.1 percent from 2006 to 2018 and did not pay any federal income taxes in 2007 and 2011). </w:t>
      </w:r>
    </w:p>
  </w:footnote>
  <w:footnote w:id="69">
    <w:p w14:paraId="4A2657FA" w14:textId="768067FA" w:rsidR="006E30B5" w:rsidRPr="002010F9" w:rsidRDefault="006E30B5">
      <w:pPr>
        <w:pStyle w:val="FootnoteText"/>
        <w:rPr>
          <w:rFonts w:ascii="Century Schoolbook" w:hAnsi="Century Schoolbook"/>
          <w:lang w:val="en-US"/>
        </w:rPr>
      </w:pPr>
      <w:r w:rsidRPr="007D6E99">
        <w:rPr>
          <w:rStyle w:val="FootnoteReference"/>
          <w:rFonts w:ascii="Century Schoolbook" w:hAnsi="Century Schoolbook"/>
        </w:rPr>
        <w:footnoteRef/>
      </w:r>
      <w:r w:rsidRPr="007D6E99">
        <w:rPr>
          <w:rFonts w:ascii="Century Schoolbook" w:hAnsi="Century Schoolbook"/>
        </w:rPr>
        <w:t xml:space="preserve"> </w:t>
      </w:r>
      <w:r w:rsidRPr="007D6E99">
        <w:rPr>
          <w:rFonts w:ascii="Century Schoolbook" w:hAnsi="Century Schoolbook"/>
          <w:lang w:val="en-US"/>
        </w:rPr>
        <w:t xml:space="preserve">For detailed explanation of </w:t>
      </w:r>
      <w:r w:rsidRPr="007D6E99" w:rsidDel="002010F9">
        <w:rPr>
          <w:rFonts w:ascii="Century Schoolbook" w:hAnsi="Century Schoolbook"/>
          <w:lang w:val="en-US"/>
        </w:rPr>
        <w:t xml:space="preserve">how </w:t>
      </w:r>
      <w:r>
        <w:rPr>
          <w:rFonts w:ascii="Century Schoolbook" w:hAnsi="Century Schoolbook"/>
          <w:lang w:val="en-US"/>
        </w:rPr>
        <w:t>these strategies work</w:t>
      </w:r>
      <w:r w:rsidRPr="007D6E99">
        <w:rPr>
          <w:rFonts w:ascii="Century Schoolbook" w:hAnsi="Century Schoolbook"/>
          <w:lang w:val="en-US"/>
        </w:rPr>
        <w:t xml:space="preserve">, see Gamage &amp; Brooks, </w:t>
      </w:r>
      <w:r w:rsidRPr="009F549F">
        <w:rPr>
          <w:rFonts w:ascii="Century Schoolbook" w:hAnsi="Century Schoolbook"/>
          <w:i/>
          <w:lang w:val="en-US"/>
        </w:rPr>
        <w:t>supra</w:t>
      </w:r>
      <w:r>
        <w:rPr>
          <w:rFonts w:ascii="Century Schoolbook" w:hAnsi="Century Schoolbook"/>
          <w:lang w:val="en-US"/>
        </w:rPr>
        <w:t xml:space="preserve"> </w:t>
      </w:r>
      <w:r w:rsidRPr="007D6E99">
        <w:rPr>
          <w:rFonts w:ascii="Century Schoolbook" w:hAnsi="Century Schoolbook"/>
          <w:lang w:val="en-US"/>
        </w:rPr>
        <w:t>note 3, at 489</w:t>
      </w:r>
      <w:r>
        <w:rPr>
          <w:rFonts w:ascii="Century Schoolbook" w:hAnsi="Century Schoolbook"/>
          <w:lang w:val="en-US"/>
        </w:rPr>
        <w:t>–</w:t>
      </w:r>
      <w:r w:rsidRPr="007D6E99">
        <w:rPr>
          <w:rFonts w:ascii="Century Schoolbook" w:hAnsi="Century Schoolbook"/>
          <w:lang w:val="en-US"/>
        </w:rPr>
        <w:t xml:space="preserve">506. </w:t>
      </w:r>
      <w:r>
        <w:rPr>
          <w:rFonts w:ascii="Century Schoolbook" w:hAnsi="Century Schoolbook"/>
          <w:lang w:val="en-US"/>
        </w:rPr>
        <w:t xml:space="preserve">For discussion of the empirical literature leading to the estimate “that most ultra-wealthy taxpayers only ever realize less than a quarter of their true investment income as taxable income”, </w:t>
      </w:r>
      <w:r>
        <w:rPr>
          <w:rFonts w:ascii="Century Schoolbook" w:hAnsi="Century Schoolbook"/>
          <w:i/>
          <w:iCs/>
          <w:lang w:val="en-US"/>
        </w:rPr>
        <w:t>see id.</w:t>
      </w:r>
      <w:r>
        <w:rPr>
          <w:rFonts w:ascii="Century Schoolbook" w:hAnsi="Century Schoolbook"/>
          <w:lang w:val="en-US"/>
        </w:rPr>
        <w:t xml:space="preserve"> at 501–02.</w:t>
      </w:r>
    </w:p>
  </w:footnote>
  <w:footnote w:id="70">
    <w:p w14:paraId="297F779E" w14:textId="591E9717" w:rsidR="006E30B5" w:rsidRPr="009F549F" w:rsidRDefault="006E30B5">
      <w:pPr>
        <w:rPr>
          <w:rFonts w:eastAsia="Century Schoolbook"/>
        </w:rPr>
      </w:pPr>
      <w:r w:rsidRPr="009F549F">
        <w:rPr>
          <w:vertAlign w:val="superscript"/>
        </w:rPr>
        <w:footnoteRef/>
      </w:r>
      <w:r w:rsidRPr="00036097">
        <w:rPr>
          <w:rFonts w:eastAsia="Century Schoolbook"/>
        </w:rPr>
        <w:t xml:space="preserve"> </w:t>
      </w:r>
      <w:r w:rsidRPr="001E6E59">
        <w:rPr>
          <w:rFonts w:eastAsia="Century Schoolbook"/>
          <w:i/>
          <w:iCs/>
        </w:rPr>
        <w:t>See</w:t>
      </w:r>
      <w:r w:rsidRPr="009F549F">
        <w:rPr>
          <w:rFonts w:eastAsia="Century Schoolbook"/>
        </w:rPr>
        <w:t xml:space="preserve"> Dodge, </w:t>
      </w:r>
      <w:r w:rsidRPr="009F549F">
        <w:rPr>
          <w:rFonts w:eastAsia="Century Schoolbook"/>
          <w:i/>
        </w:rPr>
        <w:t>supra</w:t>
      </w:r>
      <w:r w:rsidRPr="009F549F">
        <w:rPr>
          <w:rFonts w:eastAsia="Century Schoolbook"/>
        </w:rPr>
        <w:t xml:space="preserve"> note </w:t>
      </w:r>
      <w:r w:rsidRPr="00036097">
        <w:rPr>
          <w:rFonts w:eastAsia="Century Schoolbook"/>
        </w:rPr>
        <w:fldChar w:fldCharType="begin"/>
      </w:r>
      <w:r w:rsidRPr="00036097">
        <w:rPr>
          <w:rFonts w:eastAsia="Century Schoolbook"/>
        </w:rPr>
        <w:instrText xml:space="preserve"> NOTEREF _Ref115346456 \h  \* MERGEFORMAT </w:instrText>
      </w:r>
      <w:r w:rsidRPr="00036097">
        <w:rPr>
          <w:rFonts w:eastAsia="Century Schoolbook"/>
        </w:rPr>
      </w:r>
      <w:r w:rsidRPr="00036097">
        <w:rPr>
          <w:rFonts w:eastAsia="Century Schoolbook"/>
        </w:rPr>
        <w:fldChar w:fldCharType="separate"/>
      </w:r>
      <w:r>
        <w:rPr>
          <w:rFonts w:eastAsia="Century Schoolbook"/>
        </w:rPr>
        <w:t>66</w:t>
      </w:r>
      <w:r w:rsidRPr="00036097">
        <w:rPr>
          <w:rFonts w:eastAsia="Century Schoolbook"/>
        </w:rPr>
        <w:fldChar w:fldCharType="end"/>
      </w:r>
      <w:r w:rsidRPr="00036097">
        <w:rPr>
          <w:rFonts w:eastAsia="Century Schoolbook"/>
        </w:rPr>
        <w:t>,</w:t>
      </w:r>
      <w:r w:rsidRPr="009F549F">
        <w:rPr>
          <w:rFonts w:eastAsia="Century Schoolbook"/>
        </w:rPr>
        <w:t xml:space="preserve"> at 443; </w:t>
      </w:r>
      <w:proofErr w:type="spellStart"/>
      <w:r w:rsidRPr="009F549F">
        <w:rPr>
          <w:rFonts w:eastAsia="Century Schoolbook"/>
        </w:rPr>
        <w:t>Strnad</w:t>
      </w:r>
      <w:proofErr w:type="spellEnd"/>
      <w:r w:rsidRPr="009F549F">
        <w:rPr>
          <w:rFonts w:eastAsia="Century Schoolbook"/>
        </w:rPr>
        <w:t xml:space="preserve">, </w:t>
      </w:r>
      <w:r w:rsidRPr="009F549F">
        <w:rPr>
          <w:rFonts w:eastAsia="Century Schoolbook"/>
          <w:i/>
        </w:rPr>
        <w:t>supra</w:t>
      </w:r>
      <w:r w:rsidRPr="009F549F">
        <w:rPr>
          <w:rFonts w:eastAsia="Century Schoolbook"/>
        </w:rPr>
        <w:t xml:space="preserve"> note </w:t>
      </w:r>
      <w:r w:rsidRPr="00036097">
        <w:rPr>
          <w:rFonts w:eastAsia="Century Schoolbook"/>
        </w:rPr>
        <w:fldChar w:fldCharType="begin"/>
      </w:r>
      <w:r w:rsidRPr="00036097">
        <w:rPr>
          <w:rFonts w:eastAsia="Century Schoolbook"/>
        </w:rPr>
        <w:instrText xml:space="preserve"> NOTEREF _Ref115347143 \h  \* MERGEFORMAT </w:instrText>
      </w:r>
      <w:r w:rsidRPr="00036097">
        <w:rPr>
          <w:rFonts w:eastAsia="Century Schoolbook"/>
        </w:rPr>
      </w:r>
      <w:r w:rsidRPr="00036097">
        <w:rPr>
          <w:rFonts w:eastAsia="Century Schoolbook"/>
        </w:rPr>
        <w:fldChar w:fldCharType="separate"/>
      </w:r>
      <w:r>
        <w:rPr>
          <w:rFonts w:eastAsia="Century Schoolbook"/>
        </w:rPr>
        <w:t>63</w:t>
      </w:r>
      <w:r w:rsidRPr="00036097">
        <w:rPr>
          <w:rFonts w:eastAsia="Century Schoolbook"/>
        </w:rPr>
        <w:fldChar w:fldCharType="end"/>
      </w:r>
      <w:r w:rsidRPr="00036097">
        <w:rPr>
          <w:rFonts w:eastAsia="Century Schoolbook"/>
        </w:rPr>
        <w:t>,</w:t>
      </w:r>
      <w:r w:rsidRPr="009F549F">
        <w:rPr>
          <w:rFonts w:eastAsia="Century Schoolbook"/>
        </w:rPr>
        <w:t xml:space="preserve"> at 1886.</w:t>
      </w:r>
    </w:p>
  </w:footnote>
  <w:footnote w:id="71">
    <w:p w14:paraId="1A1CA684" w14:textId="15A479DC" w:rsidR="006E30B5" w:rsidRPr="009F549F" w:rsidRDefault="006E30B5">
      <w:pPr>
        <w:rPr>
          <w:rFonts w:eastAsia="Century Schoolbook"/>
        </w:rPr>
      </w:pPr>
      <w:r w:rsidRPr="009F549F">
        <w:rPr>
          <w:vertAlign w:val="superscript"/>
        </w:rPr>
        <w:footnoteRef/>
      </w:r>
      <w:r w:rsidRPr="00036097">
        <w:rPr>
          <w:rFonts w:eastAsia="Century Schoolbook"/>
        </w:rPr>
        <w:t xml:space="preserve"> </w:t>
      </w:r>
      <w:r w:rsidRPr="00545DDB">
        <w:rPr>
          <w:rFonts w:eastAsia="Century Schoolbook"/>
          <w:i/>
          <w:iCs/>
        </w:rPr>
        <w:t>See</w:t>
      </w:r>
      <w:r w:rsidRPr="009F549F">
        <w:rPr>
          <w:rFonts w:eastAsia="Century Schoolbook"/>
        </w:rPr>
        <w:t xml:space="preserve"> </w:t>
      </w:r>
      <w:proofErr w:type="spellStart"/>
      <w:r w:rsidRPr="009F549F">
        <w:rPr>
          <w:rFonts w:eastAsia="Century Schoolbook"/>
        </w:rPr>
        <w:t>Schizer</w:t>
      </w:r>
      <w:proofErr w:type="spellEnd"/>
      <w:r w:rsidRPr="009F549F">
        <w:rPr>
          <w:rFonts w:eastAsia="Century Schoolbook"/>
        </w:rPr>
        <w:t xml:space="preserve">, </w:t>
      </w:r>
      <w:r w:rsidRPr="009F549F">
        <w:rPr>
          <w:rFonts w:eastAsia="Century Schoolbook"/>
          <w:i/>
        </w:rPr>
        <w:t xml:space="preserve">supra </w:t>
      </w:r>
      <w:r w:rsidRPr="009F549F">
        <w:rPr>
          <w:rFonts w:eastAsia="Century Schoolbook"/>
        </w:rPr>
        <w:t xml:space="preserve">note </w:t>
      </w:r>
      <w:r w:rsidRPr="00036097">
        <w:rPr>
          <w:rFonts w:eastAsia="Century Schoolbook"/>
        </w:rPr>
        <w:fldChar w:fldCharType="begin"/>
      </w:r>
      <w:r w:rsidRPr="00036097">
        <w:rPr>
          <w:rFonts w:eastAsia="Century Schoolbook"/>
        </w:rPr>
        <w:instrText xml:space="preserve"> NOTEREF _Ref115037095 \h  \* MERGEFORMAT </w:instrText>
      </w:r>
      <w:r w:rsidRPr="00036097">
        <w:rPr>
          <w:rFonts w:eastAsia="Century Schoolbook"/>
        </w:rPr>
      </w:r>
      <w:r w:rsidRPr="00036097">
        <w:rPr>
          <w:rFonts w:eastAsia="Century Schoolbook"/>
        </w:rPr>
        <w:fldChar w:fldCharType="separate"/>
      </w:r>
      <w:r>
        <w:rPr>
          <w:rFonts w:eastAsia="Century Schoolbook"/>
        </w:rPr>
        <w:t>38</w:t>
      </w:r>
      <w:r w:rsidRPr="00036097">
        <w:rPr>
          <w:rFonts w:eastAsia="Century Schoolbook"/>
        </w:rPr>
        <w:fldChar w:fldCharType="end"/>
      </w:r>
      <w:r w:rsidRPr="00036097">
        <w:rPr>
          <w:rFonts w:eastAsia="Century Schoolbook"/>
        </w:rPr>
        <w:t>,</w:t>
      </w:r>
      <w:r w:rsidRPr="009F549F">
        <w:rPr>
          <w:rFonts w:eastAsia="Century Schoolbook"/>
        </w:rPr>
        <w:t xml:space="preserve"> at 1611</w:t>
      </w:r>
      <w:r w:rsidRPr="00036097">
        <w:rPr>
          <w:rFonts w:eastAsia="Century Schoolbook"/>
        </w:rPr>
        <w:t xml:space="preserve"> &amp; n.278</w:t>
      </w:r>
      <w:r w:rsidRPr="009F549F">
        <w:rPr>
          <w:rFonts w:eastAsia="Century Schoolbook"/>
        </w:rPr>
        <w:t>.</w:t>
      </w:r>
    </w:p>
  </w:footnote>
  <w:footnote w:id="72">
    <w:p w14:paraId="582CDFAE" w14:textId="61E3B740" w:rsidR="006E30B5" w:rsidRPr="009F549F" w:rsidRDefault="006E30B5">
      <w:pPr>
        <w:rPr>
          <w:rFonts w:eastAsia="Century Schoolbook"/>
        </w:rPr>
      </w:pPr>
      <w:r w:rsidRPr="009F549F">
        <w:rPr>
          <w:vertAlign w:val="superscript"/>
        </w:rPr>
        <w:footnoteRef/>
      </w:r>
      <w:r w:rsidRPr="00036097">
        <w:rPr>
          <w:rFonts w:eastAsia="Century Schoolbook"/>
        </w:rPr>
        <w:t xml:space="preserve"> </w:t>
      </w:r>
      <w:r w:rsidRPr="00545DDB">
        <w:rPr>
          <w:rFonts w:eastAsia="Century Schoolbook"/>
          <w:i/>
          <w:iCs/>
        </w:rPr>
        <w:t>See</w:t>
      </w:r>
      <w:r w:rsidRPr="009F549F">
        <w:rPr>
          <w:rFonts w:eastAsia="Century Schoolbook"/>
        </w:rPr>
        <w:t xml:space="preserve"> Edward D. </w:t>
      </w:r>
      <w:proofErr w:type="spellStart"/>
      <w:r w:rsidRPr="009F549F">
        <w:rPr>
          <w:rFonts w:eastAsia="Century Schoolbook"/>
        </w:rPr>
        <w:t>Kleinbard</w:t>
      </w:r>
      <w:proofErr w:type="spellEnd"/>
      <w:r w:rsidRPr="009F549F">
        <w:rPr>
          <w:rFonts w:eastAsia="Century Schoolbook"/>
        </w:rPr>
        <w:t xml:space="preserve"> &amp; Thomas L. </w:t>
      </w:r>
      <w:r w:rsidRPr="009F549F">
        <w:rPr>
          <w:rFonts w:eastAsia="Century Schoolbook"/>
        </w:rPr>
        <w:t xml:space="preserve">Evans, </w:t>
      </w:r>
      <w:r w:rsidRPr="009F549F">
        <w:rPr>
          <w:rFonts w:eastAsia="Century Schoolbook"/>
          <w:i/>
        </w:rPr>
        <w:t>The Role of Mark-to-Market Accounting in a Realization</w:t>
      </w:r>
      <w:r w:rsidRPr="00036097">
        <w:rPr>
          <w:rFonts w:eastAsia="Century Schoolbook"/>
          <w:i/>
        </w:rPr>
        <w:t>-</w:t>
      </w:r>
      <w:r w:rsidRPr="009F549F">
        <w:rPr>
          <w:rFonts w:eastAsia="Century Schoolbook"/>
          <w:i/>
        </w:rPr>
        <w:t>Based Tax System</w:t>
      </w:r>
      <w:r w:rsidRPr="009F549F">
        <w:rPr>
          <w:rFonts w:eastAsia="Century Schoolbook"/>
        </w:rPr>
        <w:t xml:space="preserve">, 75 </w:t>
      </w:r>
      <w:r w:rsidRPr="009F549F">
        <w:rPr>
          <w:rFonts w:eastAsia="Century Schoolbook"/>
          <w:smallCaps/>
        </w:rPr>
        <w:t>Taxes</w:t>
      </w:r>
      <w:r w:rsidRPr="009F549F">
        <w:rPr>
          <w:rFonts w:eastAsia="Century Schoolbook"/>
        </w:rPr>
        <w:t xml:space="preserve"> 788, 789 </w:t>
      </w:r>
      <w:r w:rsidRPr="00036097">
        <w:rPr>
          <w:rFonts w:eastAsia="Century Schoolbook"/>
        </w:rPr>
        <w:t xml:space="preserve">&amp; n.1 </w:t>
      </w:r>
      <w:r w:rsidRPr="009F549F">
        <w:rPr>
          <w:rFonts w:eastAsia="Century Schoolbook"/>
        </w:rPr>
        <w:t>(1997); David</w:t>
      </w:r>
      <w:r w:rsidRPr="00036097">
        <w:rPr>
          <w:rFonts w:eastAsia="Century Schoolbook"/>
        </w:rPr>
        <w:t xml:space="preserve"> J.</w:t>
      </w:r>
      <w:r w:rsidRPr="009F549F">
        <w:rPr>
          <w:rFonts w:eastAsia="Century Schoolbook"/>
        </w:rPr>
        <w:t xml:space="preserve"> </w:t>
      </w:r>
      <w:proofErr w:type="spellStart"/>
      <w:r w:rsidRPr="009F549F">
        <w:rPr>
          <w:rFonts w:eastAsia="Century Schoolbook"/>
        </w:rPr>
        <w:t>Shakow</w:t>
      </w:r>
      <w:proofErr w:type="spellEnd"/>
      <w:r w:rsidRPr="009F549F">
        <w:rPr>
          <w:rFonts w:eastAsia="Century Schoolbook"/>
        </w:rPr>
        <w:t xml:space="preserve">, </w:t>
      </w:r>
      <w:r w:rsidRPr="009F549F">
        <w:rPr>
          <w:rFonts w:eastAsia="Century Schoolbook"/>
          <w:i/>
        </w:rPr>
        <w:t>Taxation Without Realization: A Proposal for Accrual Taxation</w:t>
      </w:r>
      <w:r w:rsidRPr="009F549F">
        <w:rPr>
          <w:rFonts w:eastAsia="Century Schoolbook"/>
        </w:rPr>
        <w:t xml:space="preserve">, 134 </w:t>
      </w:r>
      <w:r w:rsidRPr="009F549F">
        <w:rPr>
          <w:rFonts w:eastAsia="Century Schoolbook"/>
          <w:smallCaps/>
        </w:rPr>
        <w:t>U.</w:t>
      </w:r>
      <w:r w:rsidRPr="009F549F">
        <w:rPr>
          <w:rFonts w:eastAsia="Century Schoolbook"/>
        </w:rPr>
        <w:t xml:space="preserve"> </w:t>
      </w:r>
      <w:r w:rsidRPr="009F549F">
        <w:rPr>
          <w:rFonts w:eastAsia="Century Schoolbook"/>
          <w:smallCaps/>
        </w:rPr>
        <w:t>Pa. L. Rev.</w:t>
      </w:r>
      <w:r w:rsidRPr="009F549F">
        <w:rPr>
          <w:rFonts w:eastAsia="Century Schoolbook"/>
        </w:rPr>
        <w:t xml:space="preserve"> 1111, 1117 (1986); William </w:t>
      </w:r>
      <w:proofErr w:type="spellStart"/>
      <w:r w:rsidRPr="009F549F">
        <w:rPr>
          <w:rFonts w:eastAsia="Century Schoolbook"/>
        </w:rPr>
        <w:t>Vickrey</w:t>
      </w:r>
      <w:proofErr w:type="spellEnd"/>
      <w:r w:rsidRPr="009F549F">
        <w:rPr>
          <w:rFonts w:eastAsia="Century Schoolbook"/>
        </w:rPr>
        <w:t xml:space="preserve">, </w:t>
      </w:r>
      <w:r w:rsidRPr="009F549F">
        <w:rPr>
          <w:rFonts w:eastAsia="Century Schoolbook"/>
          <w:i/>
        </w:rPr>
        <w:t>Tax Simplification Through Cumulative Averaging</w:t>
      </w:r>
      <w:r w:rsidRPr="009F549F">
        <w:rPr>
          <w:rFonts w:eastAsia="Century Schoolbook"/>
        </w:rPr>
        <w:t>, 34 L. &amp;</w:t>
      </w:r>
      <w:r w:rsidRPr="009F549F">
        <w:rPr>
          <w:rFonts w:eastAsia="Century Schoolbook"/>
          <w:smallCaps/>
        </w:rPr>
        <w:t xml:space="preserve"> Contemp. Probs</w:t>
      </w:r>
      <w:r w:rsidRPr="009F549F">
        <w:rPr>
          <w:rFonts w:eastAsia="Century Schoolbook"/>
        </w:rPr>
        <w:t xml:space="preserve">. 736, 743–44 (1969). </w:t>
      </w:r>
    </w:p>
  </w:footnote>
  <w:footnote w:id="73">
    <w:p w14:paraId="4C8E0C39" w14:textId="4AF6F39D" w:rsidR="006E30B5" w:rsidRPr="009F549F" w:rsidRDefault="006E30B5">
      <w:pPr>
        <w:rPr>
          <w:rFonts w:eastAsia="Century Schoolbook"/>
          <w:b/>
        </w:rPr>
      </w:pPr>
      <w:r w:rsidRPr="009F549F">
        <w:rPr>
          <w:vertAlign w:val="superscript"/>
        </w:rPr>
        <w:footnoteRef/>
      </w:r>
      <w:r w:rsidRPr="00036097">
        <w:rPr>
          <w:rFonts w:eastAsia="Century Schoolbook"/>
        </w:rPr>
        <w:t xml:space="preserve"> </w:t>
      </w:r>
      <w:r>
        <w:rPr>
          <w:rFonts w:eastAsia="Century Schoolbook"/>
          <w:i/>
          <w:iCs/>
        </w:rPr>
        <w:t>See, e.g.</w:t>
      </w:r>
      <w:r>
        <w:rPr>
          <w:rFonts w:eastAsia="Century Schoolbook"/>
        </w:rPr>
        <w:t>,</w:t>
      </w:r>
      <w:r w:rsidRPr="009F549F">
        <w:rPr>
          <w:rFonts w:eastAsia="Century Schoolbook"/>
        </w:rPr>
        <w:t xml:space="preserve"> Cunningham &amp; Schenk, </w:t>
      </w:r>
      <w:r w:rsidRPr="009F549F">
        <w:rPr>
          <w:rFonts w:eastAsia="Century Schoolbook"/>
          <w:i/>
        </w:rPr>
        <w:t>supra</w:t>
      </w:r>
      <w:r w:rsidRPr="009F549F">
        <w:rPr>
          <w:rFonts w:eastAsia="Century Schoolbook"/>
        </w:rPr>
        <w:t xml:space="preserve"> note </w:t>
      </w:r>
      <w:r w:rsidRPr="00036097">
        <w:rPr>
          <w:rFonts w:eastAsia="Century Schoolbook"/>
        </w:rPr>
        <w:fldChar w:fldCharType="begin"/>
      </w:r>
      <w:r w:rsidRPr="00036097">
        <w:rPr>
          <w:rFonts w:eastAsia="Century Schoolbook"/>
        </w:rPr>
        <w:instrText xml:space="preserve"> NOTEREF _Ref115600030 \h  \* MERGEFORMAT </w:instrText>
      </w:r>
      <w:r w:rsidRPr="00036097">
        <w:rPr>
          <w:rFonts w:eastAsia="Century Schoolbook"/>
        </w:rPr>
      </w:r>
      <w:r w:rsidRPr="00036097">
        <w:rPr>
          <w:rFonts w:eastAsia="Century Schoolbook"/>
        </w:rPr>
        <w:fldChar w:fldCharType="separate"/>
      </w:r>
      <w:r>
        <w:rPr>
          <w:rFonts w:eastAsia="Century Schoolbook"/>
        </w:rPr>
        <w:t>37</w:t>
      </w:r>
      <w:r w:rsidRPr="00036097">
        <w:rPr>
          <w:rFonts w:eastAsia="Century Schoolbook"/>
        </w:rPr>
        <w:fldChar w:fldCharType="end"/>
      </w:r>
      <w:r w:rsidRPr="00036097">
        <w:rPr>
          <w:rFonts w:eastAsia="Century Schoolbook"/>
        </w:rPr>
        <w:t>,</w:t>
      </w:r>
      <w:r w:rsidRPr="009F549F">
        <w:rPr>
          <w:rFonts w:eastAsia="Century Schoolbook"/>
        </w:rPr>
        <w:t xml:space="preserve"> at 728–32; </w:t>
      </w:r>
      <w:r w:rsidRPr="009F549F">
        <w:rPr>
          <w:rFonts w:eastAsia="Century Schoolbook"/>
          <w:highlight w:val="white"/>
        </w:rPr>
        <w:t xml:space="preserve">Edward D. </w:t>
      </w:r>
      <w:proofErr w:type="spellStart"/>
      <w:r w:rsidRPr="009F549F">
        <w:rPr>
          <w:rFonts w:eastAsia="Century Schoolbook"/>
          <w:highlight w:val="white"/>
        </w:rPr>
        <w:t>Kleinbard</w:t>
      </w:r>
      <w:proofErr w:type="spellEnd"/>
      <w:r w:rsidRPr="009F549F">
        <w:rPr>
          <w:rFonts w:eastAsia="Century Schoolbook"/>
          <w:highlight w:val="white"/>
        </w:rPr>
        <w:t xml:space="preserve">, </w:t>
      </w:r>
      <w:r w:rsidRPr="009F549F">
        <w:rPr>
          <w:rFonts w:eastAsia="Century Schoolbook"/>
          <w:i/>
          <w:highlight w:val="white"/>
        </w:rPr>
        <w:t>Risky and Riskless Positions in Securities</w:t>
      </w:r>
      <w:r w:rsidRPr="009F549F">
        <w:rPr>
          <w:rFonts w:eastAsia="Century Schoolbook"/>
          <w:highlight w:val="white"/>
        </w:rPr>
        <w:t xml:space="preserve">, 71 </w:t>
      </w:r>
      <w:r w:rsidRPr="009F549F">
        <w:rPr>
          <w:rFonts w:eastAsia="Century Schoolbook"/>
          <w:smallCaps/>
          <w:highlight w:val="white"/>
        </w:rPr>
        <w:t>Taxes</w:t>
      </w:r>
      <w:r w:rsidRPr="009F549F">
        <w:rPr>
          <w:rFonts w:eastAsia="Century Schoolbook"/>
          <w:highlight w:val="white"/>
        </w:rPr>
        <w:t xml:space="preserve"> 783, 788–92 (1993); Alex Raskolnikov, </w:t>
      </w:r>
      <w:r w:rsidRPr="009F549F">
        <w:rPr>
          <w:rFonts w:eastAsia="Century Schoolbook"/>
          <w:i/>
          <w:highlight w:val="white"/>
        </w:rPr>
        <w:t>Contextual Analysis of Tax Ownership</w:t>
      </w:r>
      <w:r w:rsidRPr="009F549F">
        <w:rPr>
          <w:rFonts w:eastAsia="Century Schoolbook"/>
          <w:highlight w:val="white"/>
        </w:rPr>
        <w:t xml:space="preserve">, 85 B.U. L. </w:t>
      </w:r>
      <w:r w:rsidRPr="009F549F">
        <w:rPr>
          <w:rFonts w:eastAsia="Century Schoolbook"/>
          <w:smallCaps/>
          <w:highlight w:val="white"/>
        </w:rPr>
        <w:t>Rev</w:t>
      </w:r>
      <w:r w:rsidRPr="009F549F">
        <w:rPr>
          <w:rFonts w:eastAsia="Century Schoolbook"/>
          <w:highlight w:val="white"/>
        </w:rPr>
        <w:t>. 431, 438 (2005)</w:t>
      </w:r>
      <w:r w:rsidRPr="009F549F">
        <w:rPr>
          <w:rFonts w:eastAsia="Century Schoolbook"/>
        </w:rPr>
        <w:t>.</w:t>
      </w:r>
      <w:r w:rsidRPr="00036097">
        <w:rPr>
          <w:rFonts w:eastAsia="Century Schoolbook"/>
        </w:rPr>
        <w:t xml:space="preserve"> </w:t>
      </w:r>
    </w:p>
  </w:footnote>
  <w:footnote w:id="74">
    <w:p w14:paraId="0077C3C6" w14:textId="74B5E176" w:rsidR="006E30B5" w:rsidRPr="009F549F" w:rsidRDefault="006E30B5">
      <w:pPr>
        <w:rPr>
          <w:rFonts w:eastAsia="Century Schoolbook"/>
        </w:rPr>
      </w:pPr>
      <w:r w:rsidRPr="009F549F">
        <w:rPr>
          <w:vertAlign w:val="superscript"/>
        </w:rPr>
        <w:footnoteRef/>
      </w:r>
      <w:r w:rsidRPr="009F549F">
        <w:rPr>
          <w:rFonts w:eastAsia="Century Schoolbook"/>
        </w:rPr>
        <w:t xml:space="preserve"> Auerbach &amp; Poterba, </w:t>
      </w:r>
      <w:r w:rsidRPr="009F549F">
        <w:rPr>
          <w:rFonts w:eastAsia="Century Schoolbook"/>
          <w:i/>
        </w:rPr>
        <w:t>supra</w:t>
      </w:r>
      <w:r w:rsidRPr="009F549F">
        <w:rPr>
          <w:rFonts w:eastAsia="Century Schoolbook"/>
        </w:rPr>
        <w:t xml:space="preserve"> note </w:t>
      </w:r>
      <w:r w:rsidRPr="00036097">
        <w:rPr>
          <w:rFonts w:eastAsia="Century Schoolbook"/>
        </w:rPr>
        <w:fldChar w:fldCharType="begin"/>
      </w:r>
      <w:r w:rsidRPr="00036097">
        <w:rPr>
          <w:rFonts w:eastAsia="Century Schoolbook"/>
        </w:rPr>
        <w:instrText xml:space="preserve"> NOTEREF _Ref115601118 \h  \* MERGEFORMAT </w:instrText>
      </w:r>
      <w:r w:rsidRPr="00036097">
        <w:rPr>
          <w:rFonts w:eastAsia="Century Schoolbook"/>
        </w:rPr>
      </w:r>
      <w:r w:rsidRPr="00036097">
        <w:rPr>
          <w:rFonts w:eastAsia="Century Schoolbook"/>
        </w:rPr>
        <w:fldChar w:fldCharType="separate"/>
      </w:r>
      <w:r>
        <w:rPr>
          <w:rFonts w:eastAsia="Century Schoolbook"/>
        </w:rPr>
        <w:t>61</w:t>
      </w:r>
      <w:r w:rsidRPr="00036097">
        <w:rPr>
          <w:rFonts w:eastAsia="Century Schoolbook"/>
        </w:rPr>
        <w:fldChar w:fldCharType="end"/>
      </w:r>
      <w:r w:rsidRPr="00036097">
        <w:rPr>
          <w:rFonts w:eastAsia="Century Schoolbook"/>
        </w:rPr>
        <w:t>,</w:t>
      </w:r>
      <w:r w:rsidRPr="009F549F">
        <w:rPr>
          <w:rFonts w:eastAsia="Century Schoolbook"/>
        </w:rPr>
        <w:t xml:space="preserve"> at 596; </w:t>
      </w:r>
      <w:proofErr w:type="spellStart"/>
      <w:r w:rsidRPr="009F549F">
        <w:rPr>
          <w:rFonts w:eastAsia="Century Schoolbook"/>
        </w:rPr>
        <w:t>Strnad</w:t>
      </w:r>
      <w:proofErr w:type="spellEnd"/>
      <w:r w:rsidRPr="009F549F">
        <w:rPr>
          <w:rFonts w:eastAsia="Century Schoolbook"/>
        </w:rPr>
        <w:t xml:space="preserve">, </w:t>
      </w:r>
      <w:r w:rsidRPr="009F549F">
        <w:rPr>
          <w:rFonts w:eastAsia="Century Schoolbook"/>
          <w:i/>
        </w:rPr>
        <w:t>supra</w:t>
      </w:r>
      <w:r w:rsidRPr="009F549F">
        <w:rPr>
          <w:rFonts w:eastAsia="Century Schoolbook"/>
        </w:rPr>
        <w:t xml:space="preserve"> note </w:t>
      </w:r>
      <w:r w:rsidRPr="00036097">
        <w:rPr>
          <w:rFonts w:eastAsia="Century Schoolbook"/>
        </w:rPr>
        <w:fldChar w:fldCharType="begin"/>
      </w:r>
      <w:r w:rsidRPr="00036097">
        <w:rPr>
          <w:rFonts w:eastAsia="Century Schoolbook"/>
        </w:rPr>
        <w:instrText xml:space="preserve"> NOTEREF _Ref115347143 \h  \* MERGEFORMAT </w:instrText>
      </w:r>
      <w:r w:rsidRPr="00036097">
        <w:rPr>
          <w:rFonts w:eastAsia="Century Schoolbook"/>
        </w:rPr>
      </w:r>
      <w:r w:rsidRPr="00036097">
        <w:rPr>
          <w:rFonts w:eastAsia="Century Schoolbook"/>
        </w:rPr>
        <w:fldChar w:fldCharType="separate"/>
      </w:r>
      <w:r>
        <w:rPr>
          <w:rFonts w:eastAsia="Century Schoolbook"/>
        </w:rPr>
        <w:t>63</w:t>
      </w:r>
      <w:r w:rsidRPr="00036097">
        <w:rPr>
          <w:rFonts w:eastAsia="Century Schoolbook"/>
        </w:rPr>
        <w:fldChar w:fldCharType="end"/>
      </w:r>
      <w:r w:rsidRPr="00036097">
        <w:rPr>
          <w:rFonts w:eastAsia="Century Schoolbook"/>
        </w:rPr>
        <w:t>,</w:t>
      </w:r>
      <w:r w:rsidRPr="009F549F">
        <w:rPr>
          <w:rFonts w:eastAsia="Century Schoolbook"/>
        </w:rPr>
        <w:t xml:space="preserve"> at 1887. </w:t>
      </w:r>
    </w:p>
  </w:footnote>
  <w:footnote w:id="75">
    <w:p w14:paraId="0D9E26F9" w14:textId="4911A334" w:rsidR="006E30B5" w:rsidRPr="009F549F" w:rsidRDefault="006E30B5">
      <w:pPr>
        <w:rPr>
          <w:rFonts w:eastAsia="Century Schoolbook"/>
        </w:rPr>
      </w:pPr>
      <w:r w:rsidRPr="009F549F">
        <w:rPr>
          <w:vertAlign w:val="superscript"/>
        </w:rPr>
        <w:footnoteRef/>
      </w:r>
      <w:r w:rsidRPr="009F549F">
        <w:rPr>
          <w:rFonts w:eastAsia="Century Schoolbook"/>
        </w:rPr>
        <w:t xml:space="preserve"> </w:t>
      </w:r>
      <w:r w:rsidRPr="009F549F">
        <w:rPr>
          <w:rFonts w:eastAsia="Century Schoolbook"/>
          <w:i/>
        </w:rPr>
        <w:t>See</w:t>
      </w:r>
      <w:r w:rsidRPr="009F549F">
        <w:rPr>
          <w:rFonts w:eastAsia="Century Schoolbook"/>
        </w:rPr>
        <w:t xml:space="preserve"> </w:t>
      </w:r>
      <w:proofErr w:type="spellStart"/>
      <w:r w:rsidRPr="009F549F">
        <w:rPr>
          <w:rFonts w:eastAsia="Century Schoolbook"/>
        </w:rPr>
        <w:t>Shakow</w:t>
      </w:r>
      <w:proofErr w:type="spellEnd"/>
      <w:r w:rsidRPr="009F549F">
        <w:rPr>
          <w:rFonts w:eastAsia="Century Schoolbook"/>
        </w:rPr>
        <w:t xml:space="preserve">, </w:t>
      </w:r>
      <w:r w:rsidRPr="009F549F">
        <w:rPr>
          <w:rFonts w:eastAsia="Century Schoolbook"/>
          <w:i/>
        </w:rPr>
        <w:t>supra</w:t>
      </w:r>
      <w:r w:rsidRPr="009F549F">
        <w:rPr>
          <w:rFonts w:eastAsia="Century Schoolbook"/>
        </w:rPr>
        <w:t xml:space="preserve"> note </w:t>
      </w:r>
      <w:r w:rsidRPr="00036097">
        <w:rPr>
          <w:rFonts w:eastAsia="Century Schoolbook"/>
        </w:rPr>
        <w:fldChar w:fldCharType="begin"/>
      </w:r>
      <w:r w:rsidRPr="00036097">
        <w:rPr>
          <w:rFonts w:eastAsia="Century Schoolbook"/>
        </w:rPr>
        <w:instrText xml:space="preserve"> NOTEREF _Ref115602097 \h  \* MERGEFORMAT </w:instrText>
      </w:r>
      <w:r w:rsidRPr="00036097">
        <w:rPr>
          <w:rFonts w:eastAsia="Century Schoolbook"/>
        </w:rPr>
      </w:r>
      <w:r w:rsidRPr="00036097">
        <w:rPr>
          <w:rFonts w:eastAsia="Century Schoolbook"/>
        </w:rPr>
        <w:fldChar w:fldCharType="separate"/>
      </w:r>
      <w:r>
        <w:rPr>
          <w:rFonts w:eastAsia="Century Schoolbook"/>
        </w:rPr>
        <w:t>72</w:t>
      </w:r>
      <w:r w:rsidRPr="00036097">
        <w:rPr>
          <w:rFonts w:eastAsia="Century Schoolbook"/>
        </w:rPr>
        <w:fldChar w:fldCharType="end"/>
      </w:r>
      <w:r w:rsidRPr="00036097">
        <w:rPr>
          <w:rFonts w:eastAsia="Century Schoolbook"/>
        </w:rPr>
        <w:t>,</w:t>
      </w:r>
      <w:r w:rsidRPr="009F549F">
        <w:rPr>
          <w:rFonts w:eastAsia="Century Schoolbook"/>
        </w:rPr>
        <w:t xml:space="preserve"> at 1114–15.</w:t>
      </w:r>
    </w:p>
  </w:footnote>
  <w:footnote w:id="76">
    <w:p w14:paraId="0749E019" w14:textId="712F145C" w:rsidR="006E30B5" w:rsidRPr="009F549F" w:rsidRDefault="006E30B5">
      <w:pPr>
        <w:rPr>
          <w:rFonts w:eastAsia="Century Schoolbook"/>
          <w:b/>
        </w:rPr>
      </w:pPr>
      <w:r w:rsidRPr="009F549F">
        <w:rPr>
          <w:vertAlign w:val="superscript"/>
        </w:rPr>
        <w:footnoteRef/>
      </w:r>
      <w:r w:rsidRPr="009F549F">
        <w:rPr>
          <w:rFonts w:eastAsia="Century Schoolbook"/>
        </w:rPr>
        <w:t xml:space="preserve"> OECD, </w:t>
      </w:r>
      <w:r w:rsidRPr="00036097">
        <w:rPr>
          <w:rFonts w:eastAsia="Century Schoolbook"/>
          <w:i/>
        </w:rPr>
        <w:t xml:space="preserve">supra </w:t>
      </w:r>
      <w:r w:rsidRPr="00036097">
        <w:rPr>
          <w:rFonts w:eastAsia="Century Schoolbook"/>
          <w:iCs/>
        </w:rPr>
        <w:t xml:space="preserve">note </w:t>
      </w:r>
      <w:r w:rsidRPr="00036097">
        <w:rPr>
          <w:rFonts w:eastAsia="Century Schoolbook"/>
          <w:iCs/>
        </w:rPr>
        <w:fldChar w:fldCharType="begin"/>
      </w:r>
      <w:r w:rsidRPr="00036097">
        <w:rPr>
          <w:rFonts w:eastAsia="Century Schoolbook"/>
          <w:iCs/>
        </w:rPr>
        <w:instrText xml:space="preserve"> NOTEREF _Ref115603676 \h  \* MERGEFORMAT </w:instrText>
      </w:r>
      <w:r w:rsidRPr="00036097">
        <w:rPr>
          <w:rFonts w:eastAsia="Century Schoolbook"/>
          <w:iCs/>
        </w:rPr>
      </w:r>
      <w:r w:rsidRPr="00036097">
        <w:rPr>
          <w:rFonts w:eastAsia="Century Schoolbook"/>
          <w:iCs/>
        </w:rPr>
        <w:fldChar w:fldCharType="separate"/>
      </w:r>
      <w:r>
        <w:rPr>
          <w:rFonts w:eastAsia="Century Schoolbook"/>
          <w:iCs/>
        </w:rPr>
        <w:t>23</w:t>
      </w:r>
      <w:r w:rsidRPr="00036097">
        <w:rPr>
          <w:rFonts w:eastAsia="Century Schoolbook"/>
          <w:iCs/>
        </w:rPr>
        <w:fldChar w:fldCharType="end"/>
      </w:r>
      <w:r w:rsidRPr="00036097">
        <w:rPr>
          <w:rFonts w:eastAsia="Century Schoolbook"/>
        </w:rPr>
        <w:t>,</w:t>
      </w:r>
      <w:r w:rsidRPr="009F549F">
        <w:rPr>
          <w:rFonts w:eastAsia="Century Schoolbook"/>
        </w:rPr>
        <w:t xml:space="preserve"> at 69, 83–84; Emma Chamberlain, </w:t>
      </w:r>
      <w:r w:rsidRPr="009F549F">
        <w:rPr>
          <w:rFonts w:eastAsia="Century Schoolbook"/>
          <w:i/>
        </w:rPr>
        <w:t>Wealth Tax in Foreign Countries</w:t>
      </w:r>
      <w:r w:rsidRPr="009F549F">
        <w:rPr>
          <w:rFonts w:eastAsia="Century Schoolbook"/>
        </w:rPr>
        <w:t xml:space="preserve">, </w:t>
      </w:r>
      <w:r w:rsidRPr="00036097">
        <w:rPr>
          <w:rFonts w:eastAsia="Century Schoolbook"/>
        </w:rPr>
        <w:t xml:space="preserve">130 </w:t>
      </w:r>
      <w:r w:rsidRPr="009F549F">
        <w:rPr>
          <w:rFonts w:eastAsia="Century Schoolbook"/>
          <w:smallCaps/>
        </w:rPr>
        <w:t xml:space="preserve">U.K. Wealth Tax </w:t>
      </w:r>
      <w:r w:rsidRPr="00BF63DE">
        <w:rPr>
          <w:rFonts w:eastAsia="Century Schoolbook"/>
          <w:smallCaps/>
        </w:rPr>
        <w:t>Comm</w:t>
      </w:r>
      <w:r w:rsidRPr="00036097">
        <w:rPr>
          <w:rFonts w:eastAsia="Century Schoolbook"/>
          <w:smallCaps/>
        </w:rPr>
        <w:t>’</w:t>
      </w:r>
      <w:r w:rsidRPr="00BF63DE">
        <w:rPr>
          <w:rFonts w:eastAsia="Century Schoolbook"/>
          <w:smallCaps/>
        </w:rPr>
        <w:t>n</w:t>
      </w:r>
      <w:r w:rsidRPr="009F549F">
        <w:rPr>
          <w:rFonts w:eastAsia="Century Schoolbook"/>
          <w:smallCaps/>
        </w:rPr>
        <w:t xml:space="preserve"> Background Paper</w:t>
      </w:r>
      <w:r w:rsidRPr="007D6E99">
        <w:rPr>
          <w:rFonts w:ascii="Century Schoolbook" w:eastAsia="Century Schoolbook" w:hAnsi="Century Schoolbook" w:cs="Century Schoolbook"/>
          <w:sz w:val="20"/>
          <w:szCs w:val="20"/>
        </w:rPr>
        <w:t xml:space="preserve"> No. 130</w:t>
      </w:r>
      <w:r w:rsidRPr="009F549F">
        <w:rPr>
          <w:rFonts w:eastAsia="Century Schoolbook"/>
        </w:rPr>
        <w:t>, at 2–7 (2020).</w:t>
      </w:r>
      <w:r w:rsidRPr="00036097">
        <w:rPr>
          <w:rFonts w:eastAsia="Century Schoolbook"/>
        </w:rPr>
        <w:t xml:space="preserve"> </w:t>
      </w:r>
    </w:p>
  </w:footnote>
  <w:footnote w:id="77">
    <w:p w14:paraId="3826E28E" w14:textId="7A117DA0" w:rsidR="006E30B5" w:rsidRPr="009F549F" w:rsidRDefault="006E30B5">
      <w:pPr>
        <w:rPr>
          <w:rFonts w:eastAsia="Century Schoolbook"/>
          <w:b/>
        </w:rPr>
      </w:pPr>
      <w:r w:rsidRPr="009F549F">
        <w:rPr>
          <w:vertAlign w:val="superscript"/>
        </w:rPr>
        <w:footnoteRef/>
      </w:r>
      <w:r w:rsidRPr="00036097">
        <w:rPr>
          <w:rFonts w:eastAsia="Century Schoolbook"/>
        </w:rPr>
        <w:t xml:space="preserve"> </w:t>
      </w:r>
      <w:r>
        <w:rPr>
          <w:rFonts w:eastAsia="Century Schoolbook"/>
          <w:i/>
          <w:iCs/>
        </w:rPr>
        <w:t>See</w:t>
      </w:r>
      <w:r w:rsidRPr="009F549F">
        <w:rPr>
          <w:rFonts w:eastAsia="Century Schoolbook"/>
          <w:i/>
        </w:rPr>
        <w:t xml:space="preserve"> </w:t>
      </w:r>
      <w:r w:rsidRPr="009F549F">
        <w:rPr>
          <w:rFonts w:eastAsia="Century Schoolbook"/>
        </w:rPr>
        <w:t xml:space="preserve">OECD, </w:t>
      </w:r>
      <w:r w:rsidRPr="009F549F">
        <w:rPr>
          <w:rFonts w:eastAsia="Century Schoolbook"/>
          <w:i/>
        </w:rPr>
        <w:t xml:space="preserve">supra </w:t>
      </w:r>
      <w:r w:rsidRPr="009F549F">
        <w:rPr>
          <w:rFonts w:eastAsia="Century Schoolbook"/>
        </w:rPr>
        <w:t xml:space="preserve">note </w:t>
      </w:r>
      <w:r w:rsidRPr="00036097">
        <w:rPr>
          <w:rFonts w:eastAsia="Century Schoolbook"/>
          <w:iCs/>
        </w:rPr>
        <w:fldChar w:fldCharType="begin"/>
      </w:r>
      <w:r w:rsidRPr="00036097">
        <w:rPr>
          <w:rFonts w:eastAsia="Century Schoolbook"/>
          <w:iCs/>
        </w:rPr>
        <w:instrText xml:space="preserve"> NOTEREF _Ref115603676 \h  \* MERGEFORMAT </w:instrText>
      </w:r>
      <w:r w:rsidRPr="00036097">
        <w:rPr>
          <w:rFonts w:eastAsia="Century Schoolbook"/>
          <w:iCs/>
        </w:rPr>
      </w:r>
      <w:r w:rsidRPr="00036097">
        <w:rPr>
          <w:rFonts w:eastAsia="Century Schoolbook"/>
          <w:iCs/>
        </w:rPr>
        <w:fldChar w:fldCharType="separate"/>
      </w:r>
      <w:r>
        <w:rPr>
          <w:rFonts w:eastAsia="Century Schoolbook"/>
          <w:iCs/>
        </w:rPr>
        <w:t>23</w:t>
      </w:r>
      <w:r w:rsidRPr="00036097">
        <w:rPr>
          <w:rFonts w:eastAsia="Century Schoolbook"/>
          <w:iCs/>
        </w:rPr>
        <w:fldChar w:fldCharType="end"/>
      </w:r>
      <w:r w:rsidRPr="00036097">
        <w:rPr>
          <w:rFonts w:eastAsia="Century Schoolbook"/>
        </w:rPr>
        <w:t>,</w:t>
      </w:r>
      <w:r w:rsidRPr="009F549F">
        <w:rPr>
          <w:rFonts w:eastAsia="Century Schoolbook"/>
        </w:rPr>
        <w:t xml:space="preserve"> at 16, 49.</w:t>
      </w:r>
      <w:r w:rsidRPr="00036097">
        <w:rPr>
          <w:rFonts w:eastAsia="Century Schoolbook"/>
        </w:rPr>
        <w:t xml:space="preserve"> </w:t>
      </w:r>
    </w:p>
  </w:footnote>
  <w:footnote w:id="78">
    <w:p w14:paraId="46CE3E03" w14:textId="732AA1C4" w:rsidR="006E30B5" w:rsidRPr="009F549F" w:rsidRDefault="006E30B5">
      <w:pPr>
        <w:rPr>
          <w:rFonts w:eastAsia="Century Schoolbook"/>
        </w:rPr>
      </w:pPr>
      <w:r w:rsidRPr="009F549F">
        <w:rPr>
          <w:vertAlign w:val="superscript"/>
        </w:rPr>
        <w:footnoteRef/>
      </w:r>
      <w:r w:rsidRPr="009F549F">
        <w:rPr>
          <w:rFonts w:eastAsia="Century Schoolbook"/>
        </w:rPr>
        <w:t xml:space="preserve"> </w:t>
      </w:r>
      <w:r w:rsidRPr="009F549F">
        <w:rPr>
          <w:rFonts w:eastAsia="Century Schoolbook"/>
          <w:i/>
        </w:rPr>
        <w:t>See</w:t>
      </w:r>
      <w:r w:rsidRPr="009F549F">
        <w:rPr>
          <w:rFonts w:eastAsia="Century Schoolbook"/>
        </w:rPr>
        <w:t xml:space="preserve"> Laurent Bach</w:t>
      </w:r>
      <w:r w:rsidRPr="00036097">
        <w:rPr>
          <w:rFonts w:eastAsia="Century Schoolbook"/>
        </w:rPr>
        <w:t xml:space="preserve">, Antoine </w:t>
      </w:r>
      <w:proofErr w:type="spellStart"/>
      <w:r w:rsidRPr="00036097">
        <w:rPr>
          <w:rFonts w:eastAsia="Century Schoolbook"/>
        </w:rPr>
        <w:t>Bozio</w:t>
      </w:r>
      <w:proofErr w:type="spellEnd"/>
      <w:r w:rsidRPr="00036097">
        <w:rPr>
          <w:rFonts w:eastAsia="Century Schoolbook"/>
        </w:rPr>
        <w:t xml:space="preserve">, Arthur </w:t>
      </w:r>
      <w:proofErr w:type="spellStart"/>
      <w:r w:rsidRPr="00036097">
        <w:rPr>
          <w:rFonts w:eastAsia="Century Schoolbook"/>
        </w:rPr>
        <w:t>Guillouzouic</w:t>
      </w:r>
      <w:proofErr w:type="spellEnd"/>
      <w:r w:rsidRPr="00036097">
        <w:rPr>
          <w:rFonts w:eastAsia="Century Schoolbook"/>
        </w:rPr>
        <w:t xml:space="preserve"> &amp; Cl</w:t>
      </w:r>
      <w:r w:rsidRPr="00036097">
        <w:rPr>
          <w:shd w:val="clear" w:color="auto" w:fill="FFFFFF"/>
        </w:rPr>
        <w:t xml:space="preserve">ément </w:t>
      </w:r>
      <w:proofErr w:type="spellStart"/>
      <w:r w:rsidRPr="00036097">
        <w:rPr>
          <w:shd w:val="clear" w:color="auto" w:fill="FFFFFF"/>
        </w:rPr>
        <w:t>Malgouyres</w:t>
      </w:r>
      <w:proofErr w:type="spellEnd"/>
      <w:r w:rsidRPr="00036097">
        <w:rPr>
          <w:rFonts w:eastAsia="Century Schoolbook"/>
        </w:rPr>
        <w:t>,</w:t>
      </w:r>
      <w:r w:rsidRPr="009F549F">
        <w:rPr>
          <w:rFonts w:eastAsia="Century Schoolbook"/>
        </w:rPr>
        <w:t xml:space="preserve"> </w:t>
      </w:r>
      <w:r w:rsidRPr="009F549F">
        <w:rPr>
          <w:rFonts w:eastAsia="Century Schoolbook"/>
          <w:i/>
        </w:rPr>
        <w:t>Escape or Play Again? How Retiring Entrepreneurs Responded to the Wealth Tax</w:t>
      </w:r>
      <w:r w:rsidRPr="007D6E99">
        <w:rPr>
          <w:rFonts w:ascii="Century Schoolbook" w:eastAsia="Century Schoolbook" w:hAnsi="Century Schoolbook" w:cs="Century Schoolbook"/>
          <w:sz w:val="20"/>
          <w:szCs w:val="20"/>
        </w:rPr>
        <w:t>, at</w:t>
      </w:r>
      <w:r w:rsidRPr="009F549F">
        <w:rPr>
          <w:rFonts w:eastAsia="Century Schoolbook"/>
        </w:rPr>
        <w:t xml:space="preserve"> 4–5 (Dec. 2020</w:t>
      </w:r>
      <w:r w:rsidRPr="00036097">
        <w:rPr>
          <w:rFonts w:eastAsia="Century Schoolbook"/>
        </w:rPr>
        <w:t>) (unpublished manuscript</w:t>
      </w:r>
      <w:r w:rsidRPr="009F549F">
        <w:rPr>
          <w:rFonts w:eastAsia="Century Schoolbook"/>
        </w:rPr>
        <w:t xml:space="preserve">), https://ssrn.com/abstract_id=3758040 </w:t>
      </w:r>
      <w:r w:rsidRPr="00036097">
        <w:rPr>
          <w:rFonts w:eastAsia="Century Schoolbook"/>
        </w:rPr>
        <w:t>[</w:t>
      </w:r>
      <w:r w:rsidRPr="007F2351">
        <w:t>https://perma.cc/Q6DD-QB9G</w:t>
      </w:r>
      <w:r w:rsidRPr="00036097">
        <w:rPr>
          <w:rFonts w:eastAsia="Century Schoolbook"/>
        </w:rPr>
        <w:t xml:space="preserve">] </w:t>
      </w:r>
      <w:r w:rsidRPr="009F549F">
        <w:rPr>
          <w:rFonts w:eastAsia="Century Schoolbook"/>
        </w:rPr>
        <w:t xml:space="preserve">(describing exemptions from French wealth tax for </w:t>
      </w:r>
      <w:r>
        <w:rPr>
          <w:rFonts w:eastAsia="Century Schoolbook"/>
        </w:rPr>
        <w:t>intellectual property</w:t>
      </w:r>
      <w:r w:rsidRPr="009F549F">
        <w:rPr>
          <w:rFonts w:eastAsia="Century Schoolbook"/>
        </w:rPr>
        <w:t xml:space="preserve">, collectibles, and small business stock). </w:t>
      </w:r>
    </w:p>
  </w:footnote>
  <w:footnote w:id="79">
    <w:p w14:paraId="712DC1C5" w14:textId="33678CC0" w:rsidR="006E30B5" w:rsidRPr="009F549F" w:rsidRDefault="006E30B5">
      <w:pPr>
        <w:pBdr>
          <w:top w:val="nil"/>
          <w:left w:val="nil"/>
          <w:bottom w:val="nil"/>
          <w:right w:val="nil"/>
          <w:between w:val="nil"/>
        </w:pBdr>
        <w:rPr>
          <w:rFonts w:eastAsia="Century Schoolbook"/>
          <w:b/>
          <w:color w:val="000000"/>
        </w:rPr>
      </w:pPr>
      <w:r w:rsidRPr="009F549F">
        <w:rPr>
          <w:vertAlign w:val="superscript"/>
        </w:rPr>
        <w:footnoteRef/>
      </w:r>
      <w:r w:rsidRPr="009F549F">
        <w:rPr>
          <w:rFonts w:eastAsia="Century Schoolbook"/>
          <w:color w:val="000000"/>
        </w:rPr>
        <w:t xml:space="preserve"> </w:t>
      </w:r>
      <w:r w:rsidRPr="009F549F">
        <w:rPr>
          <w:rFonts w:eastAsia="Century Schoolbook"/>
          <w:i/>
          <w:color w:val="000000"/>
        </w:rPr>
        <w:t>Id.</w:t>
      </w:r>
      <w:r>
        <w:rPr>
          <w:rFonts w:eastAsia="Century Schoolbook"/>
          <w:i/>
          <w:color w:val="000000"/>
        </w:rPr>
        <w:t xml:space="preserve">; see </w:t>
      </w:r>
      <w:r w:rsidRPr="009F549F">
        <w:rPr>
          <w:rFonts w:eastAsia="Century Schoolbook"/>
          <w:color w:val="000000"/>
        </w:rPr>
        <w:t>Chamberlain,</w:t>
      </w:r>
      <w:r>
        <w:rPr>
          <w:rFonts w:eastAsia="Century Schoolbook"/>
          <w:i/>
          <w:color w:val="000000"/>
        </w:rPr>
        <w:t xml:space="preserve"> supra </w:t>
      </w:r>
      <w:r w:rsidRPr="009F549F">
        <w:rPr>
          <w:rFonts w:eastAsia="Century Schoolbook"/>
          <w:color w:val="000000"/>
        </w:rPr>
        <w:t xml:space="preserve">note </w:t>
      </w:r>
      <w:r w:rsidRPr="009F549F">
        <w:rPr>
          <w:rFonts w:eastAsia="Century Schoolbook"/>
          <w:color w:val="000000"/>
        </w:rPr>
        <w:fldChar w:fldCharType="begin"/>
      </w:r>
      <w:r w:rsidRPr="009F549F">
        <w:rPr>
          <w:rFonts w:eastAsia="Century Schoolbook"/>
          <w:color w:val="000000"/>
        </w:rPr>
        <w:instrText xml:space="preserve"> NOTEREF _Ref115157070 \h </w:instrText>
      </w:r>
      <w:r>
        <w:rPr>
          <w:rFonts w:eastAsia="Century Schoolbook"/>
          <w:color w:val="000000"/>
        </w:rPr>
        <w:instrText xml:space="preserve"> \* MERGEFORMAT </w:instrText>
      </w:r>
      <w:r w:rsidRPr="009F549F">
        <w:rPr>
          <w:rFonts w:eastAsia="Century Schoolbook"/>
          <w:color w:val="000000"/>
        </w:rPr>
      </w:r>
      <w:r w:rsidRPr="009F549F">
        <w:rPr>
          <w:rFonts w:eastAsia="Century Schoolbook"/>
          <w:color w:val="000000"/>
        </w:rPr>
        <w:fldChar w:fldCharType="separate"/>
      </w:r>
      <w:r>
        <w:rPr>
          <w:rFonts w:eastAsia="Century Schoolbook"/>
          <w:color w:val="000000"/>
        </w:rPr>
        <w:t>76</w:t>
      </w:r>
      <w:r w:rsidRPr="009F549F">
        <w:rPr>
          <w:rFonts w:eastAsia="Century Schoolbook"/>
          <w:color w:val="000000"/>
        </w:rPr>
        <w:fldChar w:fldCharType="end"/>
      </w:r>
      <w:r w:rsidRPr="009F549F">
        <w:rPr>
          <w:rFonts w:eastAsia="Century Schoolbook"/>
          <w:color w:val="000000"/>
        </w:rPr>
        <w:t>, at 4–6 (noting family companies exemption in Spain and limited scope of wealth tax in Italy).</w:t>
      </w:r>
      <w:r>
        <w:rPr>
          <w:rFonts w:eastAsia="Century Schoolbook"/>
          <w:i/>
          <w:color w:val="000000"/>
        </w:rPr>
        <w:t xml:space="preserve"> </w:t>
      </w:r>
      <w:r w:rsidRPr="00BF63DE">
        <w:rPr>
          <w:rFonts w:eastAsia="Century Schoolbook"/>
          <w:i/>
          <w:iCs/>
          <w:color w:val="000000"/>
        </w:rPr>
        <w:t xml:space="preserve"> </w:t>
      </w:r>
    </w:p>
  </w:footnote>
  <w:footnote w:id="80">
    <w:p w14:paraId="036F83C1" w14:textId="458CD7C3" w:rsidR="006E30B5" w:rsidRPr="009F549F" w:rsidRDefault="006E30B5">
      <w:pPr>
        <w:rPr>
          <w:rFonts w:eastAsia="Century Schoolbook"/>
          <w:b/>
        </w:rPr>
      </w:pPr>
      <w:r w:rsidRPr="009F549F">
        <w:rPr>
          <w:vertAlign w:val="superscript"/>
        </w:rPr>
        <w:footnoteRef/>
      </w:r>
      <w:r w:rsidRPr="00036097">
        <w:rPr>
          <w:rFonts w:eastAsia="Century Schoolbook"/>
        </w:rPr>
        <w:t xml:space="preserve"> </w:t>
      </w:r>
      <w:r w:rsidRPr="00036097">
        <w:rPr>
          <w:rFonts w:eastAsia="Century Schoolbook"/>
          <w:i/>
          <w:iCs/>
        </w:rPr>
        <w:t>See generally</w:t>
      </w:r>
      <w:r w:rsidRPr="009F549F">
        <w:rPr>
          <w:rFonts w:eastAsia="Century Schoolbook"/>
          <w:i/>
        </w:rPr>
        <w:t xml:space="preserve"> </w:t>
      </w:r>
      <w:r w:rsidRPr="009F549F">
        <w:rPr>
          <w:rFonts w:eastAsia="Century Schoolbook"/>
        </w:rPr>
        <w:t xml:space="preserve">Eric </w:t>
      </w:r>
      <w:proofErr w:type="spellStart"/>
      <w:r w:rsidRPr="009F549F">
        <w:rPr>
          <w:rFonts w:eastAsia="Century Schoolbook"/>
        </w:rPr>
        <w:t>Toder</w:t>
      </w:r>
      <w:proofErr w:type="spellEnd"/>
      <w:r w:rsidRPr="009F549F">
        <w:rPr>
          <w:rFonts w:eastAsia="Century Schoolbook"/>
        </w:rPr>
        <w:t xml:space="preserve"> &amp; Alan </w:t>
      </w:r>
      <w:proofErr w:type="spellStart"/>
      <w:r w:rsidRPr="009F549F">
        <w:rPr>
          <w:rFonts w:eastAsia="Century Schoolbook"/>
        </w:rPr>
        <w:t>Viard</w:t>
      </w:r>
      <w:proofErr w:type="spellEnd"/>
      <w:r w:rsidRPr="009F549F">
        <w:rPr>
          <w:rFonts w:eastAsia="Century Schoolbook"/>
        </w:rPr>
        <w:t xml:space="preserve">, </w:t>
      </w:r>
      <w:r w:rsidRPr="009F549F">
        <w:rPr>
          <w:rFonts w:eastAsia="Century Schoolbook"/>
          <w:i/>
        </w:rPr>
        <w:t>Replacing Corporate Tax Revenues with a Mark to Market Tax on Shareholder Income</w:t>
      </w:r>
      <w:r w:rsidRPr="009F549F">
        <w:rPr>
          <w:rFonts w:eastAsia="Century Schoolbook"/>
        </w:rPr>
        <w:t xml:space="preserve">, 69 </w:t>
      </w:r>
      <w:r w:rsidRPr="009F549F">
        <w:rPr>
          <w:rFonts w:eastAsia="Century Schoolbook"/>
          <w:smallCaps/>
        </w:rPr>
        <w:t>Nat’l Tax J</w:t>
      </w:r>
      <w:r w:rsidRPr="009F549F">
        <w:rPr>
          <w:rFonts w:eastAsia="Century Schoolbook"/>
        </w:rPr>
        <w:t xml:space="preserve">. </w:t>
      </w:r>
      <w:r w:rsidRPr="00036097">
        <w:rPr>
          <w:rFonts w:eastAsia="Century Schoolbook"/>
        </w:rPr>
        <w:t>701 (2016) (“[P]</w:t>
      </w:r>
      <w:proofErr w:type="spellStart"/>
      <w:r w:rsidRPr="00036097">
        <w:rPr>
          <w:rFonts w:eastAsia="Century Schoolbook"/>
        </w:rPr>
        <w:t>ropos</w:t>
      </w:r>
      <w:proofErr w:type="spellEnd"/>
      <w:r w:rsidRPr="00036097">
        <w:rPr>
          <w:rFonts w:eastAsia="Century Schoolbook"/>
        </w:rPr>
        <w:t>[</w:t>
      </w:r>
      <w:proofErr w:type="spellStart"/>
      <w:r w:rsidRPr="00036097">
        <w:rPr>
          <w:rFonts w:eastAsia="Century Schoolbook"/>
        </w:rPr>
        <w:t>ing</w:t>
      </w:r>
      <w:proofErr w:type="spellEnd"/>
      <w:r w:rsidRPr="00036097">
        <w:rPr>
          <w:rFonts w:eastAsia="Century Schoolbook"/>
        </w:rPr>
        <w:t xml:space="preserve">] reducing the corporate tax rate to 15 percent and replacing the foregone revenue with a tax of . . . mark-to-market income of American shareholders”). </w:t>
      </w:r>
      <w:r>
        <w:rPr>
          <w:rFonts w:eastAsia="Century Schoolbook"/>
        </w:rPr>
        <w:t xml:space="preserve">Mark </w:t>
      </w:r>
      <w:proofErr w:type="spellStart"/>
      <w:r>
        <w:rPr>
          <w:rFonts w:eastAsia="Century Schoolbook"/>
        </w:rPr>
        <w:t>Gergen</w:t>
      </w:r>
      <w:proofErr w:type="spellEnd"/>
      <w:r>
        <w:rPr>
          <w:rFonts w:eastAsia="Century Schoolbook"/>
        </w:rPr>
        <w:t xml:space="preserve"> has somewhat similarly proposed</w:t>
      </w:r>
      <w:r w:rsidRPr="00036097">
        <w:rPr>
          <w:rFonts w:eastAsia="Century Schoolbook"/>
        </w:rPr>
        <w:t xml:space="preserve"> </w:t>
      </w:r>
      <w:r>
        <w:rPr>
          <w:rFonts w:eastAsia="Century Schoolbook"/>
        </w:rPr>
        <w:t xml:space="preserve">applying a wealth tax to just publicly traded assets, backstopped by an ex ante form of prospective tax applied to other assets; see </w:t>
      </w:r>
      <w:r w:rsidRPr="00036242">
        <w:rPr>
          <w:rFonts w:eastAsia="Century Schoolbook"/>
        </w:rPr>
        <w:t xml:space="preserve">Mark P. </w:t>
      </w:r>
      <w:proofErr w:type="spellStart"/>
      <w:r w:rsidRPr="00036242">
        <w:rPr>
          <w:rFonts w:eastAsia="Century Schoolbook"/>
        </w:rPr>
        <w:t>Gergen</w:t>
      </w:r>
      <w:proofErr w:type="spellEnd"/>
      <w:r w:rsidRPr="00036242">
        <w:rPr>
          <w:rFonts w:eastAsia="Century Schoolbook"/>
        </w:rPr>
        <w:t xml:space="preserve">, </w:t>
      </w:r>
      <w:r w:rsidRPr="009F549F">
        <w:rPr>
          <w:rFonts w:eastAsia="Century Schoolbook"/>
          <w:i/>
          <w:iCs/>
        </w:rPr>
        <w:t>How To Tax Capital</w:t>
      </w:r>
      <w:r w:rsidRPr="00036242">
        <w:rPr>
          <w:rFonts w:eastAsia="Century Schoolbook"/>
        </w:rPr>
        <w:t>, 70 TAX L. REV. 1, 1 (2016)</w:t>
      </w:r>
      <w:r>
        <w:rPr>
          <w:rFonts w:eastAsia="Century Schoolbook"/>
        </w:rPr>
        <w:t>.</w:t>
      </w:r>
    </w:p>
  </w:footnote>
  <w:footnote w:id="81">
    <w:p w14:paraId="681E26DA" w14:textId="55AC509F" w:rsidR="006E30B5" w:rsidRPr="009F549F" w:rsidRDefault="006E30B5">
      <w:pPr>
        <w:rPr>
          <w:rFonts w:eastAsia="Century Schoolbook"/>
          <w:b/>
        </w:rPr>
      </w:pPr>
      <w:r w:rsidRPr="009F549F">
        <w:rPr>
          <w:vertAlign w:val="superscript"/>
        </w:rPr>
        <w:footnoteRef/>
      </w:r>
      <w:r w:rsidRPr="009F549F">
        <w:rPr>
          <w:rFonts w:eastAsia="Century Schoolbook"/>
        </w:rPr>
        <w:t xml:space="preserve"> </w:t>
      </w:r>
      <w:r w:rsidRPr="009F549F">
        <w:rPr>
          <w:rFonts w:eastAsia="Century Schoolbook"/>
          <w:i/>
        </w:rPr>
        <w:t>See generally</w:t>
      </w:r>
      <w:r w:rsidRPr="009F549F">
        <w:rPr>
          <w:rFonts w:eastAsia="Century Schoolbook"/>
        </w:rPr>
        <w:t xml:space="preserve"> Peter J. </w:t>
      </w:r>
      <w:r w:rsidRPr="009F549F">
        <w:rPr>
          <w:rFonts w:eastAsia="Century Schoolbook"/>
        </w:rPr>
        <w:t xml:space="preserve">Connors, </w:t>
      </w:r>
      <w:r w:rsidRPr="009F549F">
        <w:rPr>
          <w:rFonts w:eastAsia="Century Schoolbook"/>
          <w:i/>
        </w:rPr>
        <w:t xml:space="preserve">The Mark-to-Market Rules of Section 475, </w:t>
      </w:r>
      <w:r>
        <w:rPr>
          <w:rFonts w:eastAsia="Century Schoolbook"/>
          <w:i/>
          <w:iCs/>
        </w:rPr>
        <w:t>in</w:t>
      </w:r>
      <w:r w:rsidRPr="00036097">
        <w:rPr>
          <w:rFonts w:eastAsia="Century Schoolbook"/>
        </w:rPr>
        <w:t xml:space="preserve"> </w:t>
      </w:r>
      <w:r w:rsidRPr="00036097">
        <w:rPr>
          <w:rFonts w:eastAsia="Century Schoolbook"/>
          <w:smallCaps/>
        </w:rPr>
        <w:t xml:space="preserve">Bloomberg </w:t>
      </w:r>
      <w:r w:rsidRPr="009F549F">
        <w:rPr>
          <w:rFonts w:eastAsia="Century Schoolbook"/>
          <w:smallCaps/>
        </w:rPr>
        <w:t xml:space="preserve">Tax </w:t>
      </w:r>
      <w:r w:rsidRPr="00036097">
        <w:rPr>
          <w:rFonts w:eastAsia="Century Schoolbook"/>
          <w:smallCaps/>
        </w:rPr>
        <w:t>Mgmt.</w:t>
      </w:r>
      <w:r w:rsidRPr="009F549F">
        <w:rPr>
          <w:rFonts w:eastAsia="Century Schoolbook"/>
          <w:smallCaps/>
        </w:rPr>
        <w:t xml:space="preserve"> Portfolio</w:t>
      </w:r>
      <w:r w:rsidRPr="009F549F">
        <w:rPr>
          <w:rFonts w:eastAsia="Century Schoolbook"/>
        </w:rPr>
        <w:t xml:space="preserve"> 543-2d</w:t>
      </w:r>
      <w:r w:rsidRPr="00036097">
        <w:rPr>
          <w:rFonts w:eastAsia="Century Schoolbook"/>
        </w:rPr>
        <w:t>.</w:t>
      </w:r>
    </w:p>
  </w:footnote>
  <w:footnote w:id="82">
    <w:p w14:paraId="67C56BAF" w14:textId="77777777" w:rsidR="006E30B5" w:rsidRPr="009F549F" w:rsidRDefault="006E30B5">
      <w:pPr>
        <w:rPr>
          <w:rFonts w:eastAsia="Century Schoolbook"/>
        </w:rPr>
      </w:pPr>
      <w:r w:rsidRPr="009F549F">
        <w:rPr>
          <w:vertAlign w:val="superscript"/>
        </w:rPr>
        <w:footnoteRef/>
      </w:r>
      <w:r w:rsidRPr="009F549F">
        <w:rPr>
          <w:rFonts w:eastAsia="Century Schoolbook"/>
        </w:rPr>
        <w:t xml:space="preserve"> </w:t>
      </w:r>
      <w:r w:rsidRPr="009F549F">
        <w:rPr>
          <w:rFonts w:eastAsia="Century Schoolbook"/>
          <w:i/>
        </w:rPr>
        <w:t>Id.</w:t>
      </w:r>
      <w:r w:rsidRPr="009F549F">
        <w:rPr>
          <w:rFonts w:eastAsia="Century Schoolbook"/>
        </w:rPr>
        <w:t xml:space="preserve"> § IV(a); </w:t>
      </w:r>
      <w:r w:rsidRPr="009F549F">
        <w:rPr>
          <w:rFonts w:eastAsia="Century Schoolbook"/>
          <w:i/>
        </w:rPr>
        <w:t>see</w:t>
      </w:r>
      <w:r w:rsidRPr="009F549F">
        <w:rPr>
          <w:rFonts w:eastAsia="Century Schoolbook"/>
        </w:rPr>
        <w:t xml:space="preserve"> I.R.C. §§ 475, 1256. </w:t>
      </w:r>
    </w:p>
  </w:footnote>
  <w:footnote w:id="83">
    <w:p w14:paraId="1BC10765" w14:textId="66B4B684" w:rsidR="006E30B5" w:rsidRPr="009F549F" w:rsidRDefault="006E30B5">
      <w:pPr>
        <w:rPr>
          <w:rFonts w:eastAsia="Century Schoolbook"/>
          <w:b/>
        </w:rPr>
      </w:pPr>
      <w:r w:rsidRPr="009F549F">
        <w:rPr>
          <w:vertAlign w:val="superscript"/>
        </w:rPr>
        <w:footnoteRef/>
      </w:r>
      <w:r w:rsidRPr="00036097">
        <w:rPr>
          <w:rFonts w:eastAsia="Century Schoolbook"/>
        </w:rPr>
        <w:t xml:space="preserve"> </w:t>
      </w:r>
      <w:r>
        <w:rPr>
          <w:rFonts w:eastAsia="Century Schoolbook"/>
          <w:i/>
          <w:iCs/>
        </w:rPr>
        <w:t>See</w:t>
      </w:r>
      <w:r w:rsidRPr="009F549F">
        <w:rPr>
          <w:rFonts w:eastAsia="Century Schoolbook"/>
          <w:i/>
        </w:rPr>
        <w:t xml:space="preserve"> </w:t>
      </w:r>
      <w:proofErr w:type="spellStart"/>
      <w:r w:rsidRPr="009F549F">
        <w:rPr>
          <w:rFonts w:eastAsia="Century Schoolbook"/>
        </w:rPr>
        <w:t>Zelinsky</w:t>
      </w:r>
      <w:proofErr w:type="spellEnd"/>
      <w:r w:rsidRPr="009F549F">
        <w:rPr>
          <w:rFonts w:eastAsia="Century Schoolbook"/>
        </w:rPr>
        <w:t xml:space="preserve">, </w:t>
      </w:r>
      <w:r w:rsidRPr="009F549F">
        <w:rPr>
          <w:rFonts w:eastAsia="Century Schoolbook"/>
          <w:i/>
        </w:rPr>
        <w:t>supra</w:t>
      </w:r>
      <w:r w:rsidRPr="009F549F">
        <w:rPr>
          <w:rFonts w:eastAsia="Century Schoolbook"/>
        </w:rPr>
        <w:t xml:space="preserve"> note </w:t>
      </w:r>
      <w:r w:rsidRPr="00036097">
        <w:rPr>
          <w:rFonts w:eastAsia="Century Schoolbook"/>
        </w:rPr>
        <w:fldChar w:fldCharType="begin"/>
      </w:r>
      <w:r w:rsidRPr="00036097">
        <w:rPr>
          <w:rFonts w:eastAsia="Century Schoolbook"/>
        </w:rPr>
        <w:instrText xml:space="preserve"> NOTEREF _Ref115211226 \h  \* MERGEFORMAT </w:instrText>
      </w:r>
      <w:r w:rsidRPr="00036097">
        <w:rPr>
          <w:rFonts w:eastAsia="Century Schoolbook"/>
        </w:rPr>
      </w:r>
      <w:r w:rsidRPr="00036097">
        <w:rPr>
          <w:rFonts w:eastAsia="Century Schoolbook"/>
        </w:rPr>
        <w:fldChar w:fldCharType="separate"/>
      </w:r>
      <w:r>
        <w:rPr>
          <w:rFonts w:eastAsia="Century Schoolbook"/>
        </w:rPr>
        <w:t>45</w:t>
      </w:r>
      <w:r w:rsidRPr="00036097">
        <w:rPr>
          <w:rFonts w:eastAsia="Century Schoolbook"/>
        </w:rPr>
        <w:fldChar w:fldCharType="end"/>
      </w:r>
      <w:r w:rsidRPr="00036097">
        <w:rPr>
          <w:rFonts w:eastAsia="Century Schoolbook"/>
        </w:rPr>
        <w:t>,</w:t>
      </w:r>
      <w:r w:rsidRPr="009F549F">
        <w:rPr>
          <w:rFonts w:eastAsia="Century Schoolbook"/>
        </w:rPr>
        <w:t xml:space="preserve"> at 863; Cunningham &amp; Schenk, </w:t>
      </w:r>
      <w:r w:rsidRPr="009F549F">
        <w:rPr>
          <w:rFonts w:eastAsia="Century Schoolbook"/>
          <w:i/>
        </w:rPr>
        <w:t>supra</w:t>
      </w:r>
      <w:r w:rsidRPr="009F549F">
        <w:rPr>
          <w:rFonts w:eastAsia="Century Schoolbook"/>
        </w:rPr>
        <w:t xml:space="preserve"> note </w:t>
      </w:r>
      <w:r w:rsidRPr="00036097">
        <w:rPr>
          <w:rFonts w:eastAsia="Century Schoolbook"/>
        </w:rPr>
        <w:fldChar w:fldCharType="begin"/>
      </w:r>
      <w:r w:rsidRPr="00036097">
        <w:rPr>
          <w:rFonts w:eastAsia="Century Schoolbook"/>
        </w:rPr>
        <w:instrText xml:space="preserve"> NOTEREF _Ref115600030 \h  \* MERGEFORMAT </w:instrText>
      </w:r>
      <w:r w:rsidRPr="00036097">
        <w:rPr>
          <w:rFonts w:eastAsia="Century Schoolbook"/>
        </w:rPr>
      </w:r>
      <w:r w:rsidRPr="00036097">
        <w:rPr>
          <w:rFonts w:eastAsia="Century Schoolbook"/>
        </w:rPr>
        <w:fldChar w:fldCharType="separate"/>
      </w:r>
      <w:r>
        <w:rPr>
          <w:rFonts w:eastAsia="Century Schoolbook"/>
        </w:rPr>
        <w:t>37</w:t>
      </w:r>
      <w:r w:rsidRPr="00036097">
        <w:rPr>
          <w:rFonts w:eastAsia="Century Schoolbook"/>
        </w:rPr>
        <w:fldChar w:fldCharType="end"/>
      </w:r>
      <w:r w:rsidRPr="00036097">
        <w:rPr>
          <w:rFonts w:eastAsia="Century Schoolbook"/>
        </w:rPr>
        <w:t>,</w:t>
      </w:r>
      <w:r w:rsidRPr="009F549F">
        <w:rPr>
          <w:rFonts w:eastAsia="Century Schoolbook"/>
        </w:rPr>
        <w:t xml:space="preserve"> at 749; </w:t>
      </w:r>
      <w:proofErr w:type="spellStart"/>
      <w:r w:rsidRPr="009F549F">
        <w:rPr>
          <w:rFonts w:eastAsia="Century Schoolbook"/>
        </w:rPr>
        <w:t>Strnad</w:t>
      </w:r>
      <w:proofErr w:type="spellEnd"/>
      <w:r w:rsidRPr="009F549F">
        <w:rPr>
          <w:rFonts w:eastAsia="Century Schoolbook"/>
        </w:rPr>
        <w:t xml:space="preserve">, </w:t>
      </w:r>
      <w:r w:rsidRPr="009F549F">
        <w:rPr>
          <w:rFonts w:eastAsia="Century Schoolbook"/>
          <w:i/>
        </w:rPr>
        <w:t>supra</w:t>
      </w:r>
      <w:r w:rsidRPr="009F549F">
        <w:rPr>
          <w:rFonts w:eastAsia="Century Schoolbook"/>
        </w:rPr>
        <w:t xml:space="preserve"> note </w:t>
      </w:r>
      <w:r w:rsidRPr="00036097">
        <w:rPr>
          <w:rFonts w:eastAsia="Century Schoolbook"/>
        </w:rPr>
        <w:fldChar w:fldCharType="begin"/>
      </w:r>
      <w:r w:rsidRPr="00036097">
        <w:rPr>
          <w:rFonts w:eastAsia="Century Schoolbook"/>
        </w:rPr>
        <w:instrText xml:space="preserve"> NOTEREF _Ref115347143 \h  \* MERGEFORMAT </w:instrText>
      </w:r>
      <w:r w:rsidRPr="00036097">
        <w:rPr>
          <w:rFonts w:eastAsia="Century Schoolbook"/>
        </w:rPr>
      </w:r>
      <w:r w:rsidRPr="00036097">
        <w:rPr>
          <w:rFonts w:eastAsia="Century Schoolbook"/>
        </w:rPr>
        <w:fldChar w:fldCharType="separate"/>
      </w:r>
      <w:r>
        <w:rPr>
          <w:rFonts w:eastAsia="Century Schoolbook"/>
        </w:rPr>
        <w:t>63</w:t>
      </w:r>
      <w:r w:rsidRPr="00036097">
        <w:rPr>
          <w:rFonts w:eastAsia="Century Schoolbook"/>
        </w:rPr>
        <w:fldChar w:fldCharType="end"/>
      </w:r>
      <w:r w:rsidRPr="00036097">
        <w:rPr>
          <w:rFonts w:eastAsia="Century Schoolbook"/>
        </w:rPr>
        <w:t>,</w:t>
      </w:r>
      <w:r w:rsidRPr="009F549F">
        <w:rPr>
          <w:rFonts w:eastAsia="Century Schoolbook"/>
        </w:rPr>
        <w:t xml:space="preserve"> at 1879–81.</w:t>
      </w:r>
      <w:r w:rsidRPr="00036097">
        <w:rPr>
          <w:rFonts w:eastAsia="Century Schoolbook"/>
        </w:rPr>
        <w:t xml:space="preserve"> </w:t>
      </w:r>
    </w:p>
  </w:footnote>
  <w:footnote w:id="84">
    <w:p w14:paraId="574579F8" w14:textId="2BAD210D" w:rsidR="006E30B5" w:rsidRPr="009F549F" w:rsidRDefault="006E30B5">
      <w:pPr>
        <w:rPr>
          <w:rFonts w:eastAsia="Century Schoolbook"/>
        </w:rPr>
      </w:pPr>
      <w:r w:rsidRPr="009F549F">
        <w:rPr>
          <w:vertAlign w:val="superscript"/>
        </w:rPr>
        <w:footnoteRef/>
      </w:r>
      <w:r w:rsidRPr="009F549F">
        <w:rPr>
          <w:rFonts w:eastAsia="Century Schoolbook"/>
        </w:rPr>
        <w:t xml:space="preserve"> Cunningham &amp; Schenk, </w:t>
      </w:r>
      <w:r w:rsidRPr="009F549F">
        <w:rPr>
          <w:rFonts w:eastAsia="Century Schoolbook"/>
          <w:i/>
        </w:rPr>
        <w:t>supra</w:t>
      </w:r>
      <w:r w:rsidRPr="009F549F">
        <w:rPr>
          <w:rFonts w:eastAsia="Century Schoolbook"/>
        </w:rPr>
        <w:t xml:space="preserve"> note </w:t>
      </w:r>
      <w:r w:rsidRPr="00036097">
        <w:rPr>
          <w:rFonts w:eastAsia="Century Schoolbook"/>
        </w:rPr>
        <w:fldChar w:fldCharType="begin"/>
      </w:r>
      <w:r w:rsidRPr="00036097">
        <w:rPr>
          <w:rFonts w:eastAsia="Century Schoolbook"/>
        </w:rPr>
        <w:instrText xml:space="preserve"> NOTEREF _Ref115600030 \h  \* MERGEFORMAT </w:instrText>
      </w:r>
      <w:r w:rsidRPr="00036097">
        <w:rPr>
          <w:rFonts w:eastAsia="Century Schoolbook"/>
        </w:rPr>
      </w:r>
      <w:r w:rsidRPr="00036097">
        <w:rPr>
          <w:rFonts w:eastAsia="Century Schoolbook"/>
        </w:rPr>
        <w:fldChar w:fldCharType="separate"/>
      </w:r>
      <w:r>
        <w:rPr>
          <w:rFonts w:eastAsia="Century Schoolbook"/>
        </w:rPr>
        <w:t>37</w:t>
      </w:r>
      <w:r w:rsidRPr="00036097">
        <w:rPr>
          <w:rFonts w:eastAsia="Century Schoolbook"/>
        </w:rPr>
        <w:fldChar w:fldCharType="end"/>
      </w:r>
      <w:r w:rsidRPr="00036097">
        <w:rPr>
          <w:rFonts w:eastAsia="Century Schoolbook"/>
        </w:rPr>
        <w:t>,</w:t>
      </w:r>
      <w:r w:rsidRPr="009F549F">
        <w:rPr>
          <w:rFonts w:eastAsia="Century Schoolbook"/>
        </w:rPr>
        <w:t xml:space="preserve"> at 749.</w:t>
      </w:r>
    </w:p>
  </w:footnote>
  <w:footnote w:id="85">
    <w:p w14:paraId="1F64F57D" w14:textId="11428A75" w:rsidR="006E30B5" w:rsidRPr="009F549F" w:rsidRDefault="006E30B5">
      <w:pPr>
        <w:rPr>
          <w:rFonts w:eastAsia="Century Schoolbook"/>
          <w:b/>
        </w:rPr>
      </w:pPr>
      <w:r w:rsidRPr="009F549F">
        <w:rPr>
          <w:vertAlign w:val="superscript"/>
        </w:rPr>
        <w:footnoteRef/>
      </w:r>
      <w:r w:rsidRPr="009F549F">
        <w:rPr>
          <w:rFonts w:eastAsia="Century Schoolbook"/>
        </w:rPr>
        <w:t xml:space="preserve"> </w:t>
      </w:r>
      <w:r w:rsidRPr="009F549F">
        <w:rPr>
          <w:rFonts w:eastAsia="Century Schoolbook"/>
          <w:i/>
        </w:rPr>
        <w:t xml:space="preserve">See </w:t>
      </w:r>
      <w:r w:rsidRPr="00036097">
        <w:rPr>
          <w:rFonts w:eastAsia="Century Schoolbook"/>
          <w:i/>
        </w:rPr>
        <w:t>id.</w:t>
      </w:r>
      <w:r w:rsidRPr="009F549F">
        <w:rPr>
          <w:rFonts w:eastAsia="Century Schoolbook"/>
        </w:rPr>
        <w:t xml:space="preserve"> at 804; </w:t>
      </w:r>
      <w:proofErr w:type="spellStart"/>
      <w:r w:rsidRPr="009F549F">
        <w:rPr>
          <w:rFonts w:eastAsia="Century Schoolbook"/>
        </w:rPr>
        <w:t>Strnad</w:t>
      </w:r>
      <w:proofErr w:type="spellEnd"/>
      <w:r w:rsidRPr="009F549F">
        <w:rPr>
          <w:rFonts w:eastAsia="Century Schoolbook"/>
        </w:rPr>
        <w:t xml:space="preserve">, </w:t>
      </w:r>
      <w:r w:rsidRPr="009F549F">
        <w:rPr>
          <w:rFonts w:eastAsia="Century Schoolbook"/>
          <w:i/>
        </w:rPr>
        <w:t>supra</w:t>
      </w:r>
      <w:r w:rsidRPr="009F549F">
        <w:rPr>
          <w:rFonts w:eastAsia="Century Schoolbook"/>
        </w:rPr>
        <w:t xml:space="preserve"> note </w:t>
      </w:r>
      <w:r w:rsidRPr="00036097">
        <w:rPr>
          <w:rFonts w:eastAsia="Century Schoolbook"/>
        </w:rPr>
        <w:fldChar w:fldCharType="begin"/>
      </w:r>
      <w:r w:rsidRPr="00036097">
        <w:rPr>
          <w:rFonts w:eastAsia="Century Schoolbook"/>
        </w:rPr>
        <w:instrText xml:space="preserve"> NOTEREF _Ref115347143 \h  \* MERGEFORMAT </w:instrText>
      </w:r>
      <w:r w:rsidRPr="00036097">
        <w:rPr>
          <w:rFonts w:eastAsia="Century Schoolbook"/>
        </w:rPr>
      </w:r>
      <w:r w:rsidRPr="00036097">
        <w:rPr>
          <w:rFonts w:eastAsia="Century Schoolbook"/>
        </w:rPr>
        <w:fldChar w:fldCharType="separate"/>
      </w:r>
      <w:r>
        <w:rPr>
          <w:rFonts w:eastAsia="Century Schoolbook"/>
        </w:rPr>
        <w:t>63</w:t>
      </w:r>
      <w:r w:rsidRPr="00036097">
        <w:rPr>
          <w:rFonts w:eastAsia="Century Schoolbook"/>
        </w:rPr>
        <w:fldChar w:fldCharType="end"/>
      </w:r>
      <w:r w:rsidRPr="00036097">
        <w:rPr>
          <w:rFonts w:eastAsia="Century Schoolbook"/>
        </w:rPr>
        <w:t>,</w:t>
      </w:r>
      <w:r w:rsidRPr="009F549F">
        <w:rPr>
          <w:rFonts w:eastAsia="Century Schoolbook"/>
        </w:rPr>
        <w:t xml:space="preserve"> at </w:t>
      </w:r>
      <w:r w:rsidRPr="00036097">
        <w:rPr>
          <w:rFonts w:eastAsia="Century Schoolbook"/>
        </w:rPr>
        <w:t xml:space="preserve">1821.  </w:t>
      </w:r>
    </w:p>
  </w:footnote>
  <w:footnote w:id="86">
    <w:p w14:paraId="7F2A8071" w14:textId="6CDBA122" w:rsidR="006E30B5" w:rsidRPr="009F549F" w:rsidRDefault="006E30B5">
      <w:pPr>
        <w:rPr>
          <w:rFonts w:eastAsia="Century Schoolbook"/>
          <w:b/>
        </w:rPr>
      </w:pPr>
      <w:r w:rsidRPr="009F549F">
        <w:rPr>
          <w:vertAlign w:val="superscript"/>
        </w:rPr>
        <w:footnoteRef/>
      </w:r>
      <w:r w:rsidRPr="009F549F">
        <w:rPr>
          <w:rFonts w:eastAsia="Century Schoolbook"/>
        </w:rPr>
        <w:t xml:space="preserve"> Emanuel </w:t>
      </w:r>
      <w:proofErr w:type="spellStart"/>
      <w:r w:rsidRPr="009F549F">
        <w:rPr>
          <w:rFonts w:eastAsia="Century Schoolbook"/>
        </w:rPr>
        <w:t>Saez</w:t>
      </w:r>
      <w:proofErr w:type="spellEnd"/>
      <w:r w:rsidRPr="009F549F">
        <w:rPr>
          <w:rFonts w:eastAsia="Century Schoolbook"/>
        </w:rPr>
        <w:t xml:space="preserve"> &amp; Gabriel Zucman, </w:t>
      </w:r>
      <w:r w:rsidRPr="009F549F">
        <w:rPr>
          <w:rFonts w:eastAsia="Century Schoolbook"/>
          <w:i/>
        </w:rPr>
        <w:t>Progressive Wealth Taxation</w:t>
      </w:r>
      <w:r w:rsidRPr="009F549F">
        <w:rPr>
          <w:rFonts w:eastAsia="Century Schoolbook"/>
        </w:rPr>
        <w:t xml:space="preserve">, </w:t>
      </w:r>
      <w:r w:rsidRPr="009F549F">
        <w:rPr>
          <w:rFonts w:eastAsia="Century Schoolbook"/>
          <w:smallCaps/>
        </w:rPr>
        <w:t>Brookings Papers on Econ. Activity</w:t>
      </w:r>
      <w:r w:rsidRPr="009F549F">
        <w:rPr>
          <w:rFonts w:eastAsia="Century Schoolbook"/>
        </w:rPr>
        <w:t xml:space="preserve"> 437, 471–74 (Fall 2019). </w:t>
      </w:r>
    </w:p>
  </w:footnote>
  <w:footnote w:id="87">
    <w:p w14:paraId="1C8E6C8F" w14:textId="69B85E23" w:rsidR="006E30B5" w:rsidRPr="009F549F" w:rsidRDefault="006E30B5">
      <w:pPr>
        <w:rPr>
          <w:rFonts w:eastAsia="Century Schoolbook"/>
          <w:b/>
        </w:rPr>
      </w:pPr>
      <w:r w:rsidRPr="009F549F">
        <w:rPr>
          <w:vertAlign w:val="superscript"/>
        </w:rPr>
        <w:footnoteRef/>
      </w:r>
      <w:r w:rsidRPr="009F549F">
        <w:rPr>
          <w:rFonts w:eastAsia="Century Schoolbook"/>
        </w:rPr>
        <w:t xml:space="preserve"> David M. </w:t>
      </w:r>
      <w:proofErr w:type="spellStart"/>
      <w:r w:rsidRPr="009F549F">
        <w:rPr>
          <w:rFonts w:eastAsia="Century Schoolbook"/>
        </w:rPr>
        <w:t>Schizer</w:t>
      </w:r>
      <w:proofErr w:type="spellEnd"/>
      <w:r w:rsidRPr="009F549F">
        <w:rPr>
          <w:rFonts w:eastAsia="Century Schoolbook"/>
        </w:rPr>
        <w:t xml:space="preserve">, </w:t>
      </w:r>
      <w:r w:rsidRPr="009F549F">
        <w:rPr>
          <w:rFonts w:eastAsia="Century Schoolbook"/>
          <w:i/>
        </w:rPr>
        <w:t>Frictions as a Constraint on Tax Planning</w:t>
      </w:r>
      <w:r w:rsidRPr="009F549F">
        <w:rPr>
          <w:rFonts w:eastAsia="Century Schoolbook"/>
        </w:rPr>
        <w:t xml:space="preserve">, 101 </w:t>
      </w:r>
      <w:r w:rsidRPr="009F549F">
        <w:rPr>
          <w:rFonts w:eastAsia="Century Schoolbook"/>
          <w:smallCaps/>
        </w:rPr>
        <w:t>Colum. L. Rev</w:t>
      </w:r>
      <w:r w:rsidRPr="009F549F">
        <w:rPr>
          <w:rFonts w:eastAsia="Century Schoolbook"/>
        </w:rPr>
        <w:t>. 1312, 1323–34 (2001).</w:t>
      </w:r>
      <w:r w:rsidRPr="00036097">
        <w:rPr>
          <w:rFonts w:eastAsia="Century Schoolbook"/>
        </w:rPr>
        <w:t xml:space="preserve"> </w:t>
      </w:r>
    </w:p>
  </w:footnote>
  <w:footnote w:id="88">
    <w:p w14:paraId="1EE76705" w14:textId="15F62D83" w:rsidR="006E30B5" w:rsidRPr="009F549F" w:rsidRDefault="006E30B5">
      <w:pPr>
        <w:rPr>
          <w:rFonts w:eastAsia="Century Schoolbook"/>
        </w:rPr>
      </w:pPr>
      <w:r w:rsidRPr="009F549F">
        <w:rPr>
          <w:vertAlign w:val="superscript"/>
        </w:rPr>
        <w:footnoteRef/>
      </w:r>
      <w:r w:rsidRPr="007D6E99">
        <w:rPr>
          <w:rFonts w:ascii="Century Schoolbook" w:eastAsia="Century Schoolbook" w:hAnsi="Century Schoolbook" w:cs="Century Schoolbook"/>
          <w:sz w:val="20"/>
          <w:szCs w:val="20"/>
        </w:rPr>
        <w:t xml:space="preserve"> </w:t>
      </w:r>
      <w:proofErr w:type="spellStart"/>
      <w:r w:rsidRPr="009F549F">
        <w:rPr>
          <w:rFonts w:eastAsia="Century Schoolbook"/>
        </w:rPr>
        <w:t>Shakow</w:t>
      </w:r>
      <w:proofErr w:type="spellEnd"/>
      <w:r w:rsidRPr="009F549F">
        <w:rPr>
          <w:rFonts w:eastAsia="Century Schoolbook"/>
        </w:rPr>
        <w:t xml:space="preserve">, </w:t>
      </w:r>
      <w:r w:rsidRPr="009F549F">
        <w:rPr>
          <w:rFonts w:eastAsia="Century Schoolbook"/>
          <w:i/>
        </w:rPr>
        <w:t>supra</w:t>
      </w:r>
      <w:r w:rsidRPr="009F549F">
        <w:rPr>
          <w:rFonts w:eastAsia="Century Schoolbook"/>
        </w:rPr>
        <w:t xml:space="preserve"> note </w:t>
      </w:r>
      <w:r w:rsidRPr="00036097">
        <w:rPr>
          <w:rFonts w:eastAsia="Century Schoolbook"/>
        </w:rPr>
        <w:fldChar w:fldCharType="begin"/>
      </w:r>
      <w:r w:rsidRPr="00036097">
        <w:rPr>
          <w:rFonts w:eastAsia="Century Schoolbook"/>
        </w:rPr>
        <w:instrText xml:space="preserve"> NOTEREF _Ref115602097 \h  \* MERGEFORMAT </w:instrText>
      </w:r>
      <w:r w:rsidRPr="00036097">
        <w:rPr>
          <w:rFonts w:eastAsia="Century Schoolbook"/>
        </w:rPr>
      </w:r>
      <w:r w:rsidRPr="00036097">
        <w:rPr>
          <w:rFonts w:eastAsia="Century Schoolbook"/>
        </w:rPr>
        <w:fldChar w:fldCharType="separate"/>
      </w:r>
      <w:r>
        <w:rPr>
          <w:rFonts w:eastAsia="Century Schoolbook"/>
        </w:rPr>
        <w:t>72</w:t>
      </w:r>
      <w:r w:rsidRPr="00036097">
        <w:rPr>
          <w:rFonts w:eastAsia="Century Schoolbook"/>
        </w:rPr>
        <w:fldChar w:fldCharType="end"/>
      </w:r>
      <w:r w:rsidRPr="00036097">
        <w:rPr>
          <w:rFonts w:eastAsia="Century Schoolbook"/>
        </w:rPr>
        <w:t>,</w:t>
      </w:r>
      <w:r w:rsidRPr="009F549F">
        <w:rPr>
          <w:rFonts w:eastAsia="Century Schoolbook"/>
        </w:rPr>
        <w:t xml:space="preserve"> at 1118.</w:t>
      </w:r>
    </w:p>
  </w:footnote>
  <w:footnote w:id="89">
    <w:p w14:paraId="2E67DFB8" w14:textId="613A8F5E" w:rsidR="006E30B5" w:rsidRPr="009F549F" w:rsidRDefault="006E30B5">
      <w:pPr>
        <w:rPr>
          <w:rFonts w:eastAsia="Century Schoolbook"/>
        </w:rPr>
      </w:pPr>
      <w:r w:rsidRPr="009F549F">
        <w:rPr>
          <w:vertAlign w:val="superscript"/>
        </w:rPr>
        <w:footnoteRef/>
      </w:r>
      <w:r w:rsidRPr="009F549F">
        <w:rPr>
          <w:rFonts w:eastAsia="Century Schoolbook"/>
        </w:rPr>
        <w:t xml:space="preserve"> A VAT is similar to the sales taxes familiar to U.S. readers, but the retailer is allowed a deduction for the amount of tax it paid on purchases from its suppliers. </w:t>
      </w:r>
      <w:r>
        <w:rPr>
          <w:rFonts w:eastAsia="Century Schoolbook"/>
        </w:rPr>
        <w:t xml:space="preserve">Tax Policy Center, Briefing Book, </w:t>
      </w:r>
      <w:r w:rsidRPr="009F549F">
        <w:rPr>
          <w:rFonts w:eastAsia="Century Schoolbook"/>
          <w:i/>
        </w:rPr>
        <w:t>What Is a VAT?</w:t>
      </w:r>
      <w:r>
        <w:rPr>
          <w:rFonts w:eastAsia="Century Schoolbook"/>
        </w:rPr>
        <w:t xml:space="preserve">, </w:t>
      </w:r>
      <w:r w:rsidRPr="00EE459C">
        <w:rPr>
          <w:rFonts w:eastAsia="Century Schoolbook"/>
        </w:rPr>
        <w:t>https://www.taxpolicycenter.org/briefing-book/what-vat</w:t>
      </w:r>
      <w:r>
        <w:rPr>
          <w:rFonts w:eastAsia="Century Schoolbook"/>
        </w:rPr>
        <w:t>.</w:t>
      </w:r>
    </w:p>
  </w:footnote>
  <w:footnote w:id="90">
    <w:p w14:paraId="61FE5276" w14:textId="7700F470" w:rsidR="006E30B5" w:rsidRPr="009F549F" w:rsidRDefault="006E30B5">
      <w:pPr>
        <w:rPr>
          <w:rFonts w:eastAsia="Century Schoolbook"/>
        </w:rPr>
      </w:pPr>
      <w:r w:rsidRPr="009F549F">
        <w:rPr>
          <w:vertAlign w:val="superscript"/>
        </w:rPr>
        <w:footnoteRef/>
      </w:r>
      <w:r w:rsidRPr="009F549F">
        <w:rPr>
          <w:rFonts w:eastAsia="Century Schoolbook"/>
        </w:rPr>
        <w:t xml:space="preserve"> Alain </w:t>
      </w:r>
      <w:proofErr w:type="spellStart"/>
      <w:r w:rsidRPr="009F549F">
        <w:rPr>
          <w:rFonts w:eastAsia="Century Schoolbook"/>
        </w:rPr>
        <w:t>Charlet</w:t>
      </w:r>
      <w:proofErr w:type="spellEnd"/>
      <w:r w:rsidRPr="009F549F">
        <w:rPr>
          <w:rFonts w:eastAsia="Century Schoolbook"/>
        </w:rPr>
        <w:t xml:space="preserve"> &amp; Jeffrey Owens, </w:t>
      </w:r>
      <w:r w:rsidRPr="009F549F">
        <w:rPr>
          <w:rFonts w:eastAsia="Century Schoolbook"/>
          <w:i/>
        </w:rPr>
        <w:t>An International Perspective on VAT</w:t>
      </w:r>
      <w:r w:rsidRPr="009F549F">
        <w:rPr>
          <w:rFonts w:eastAsia="Century Schoolbook"/>
        </w:rPr>
        <w:t xml:space="preserve">, </w:t>
      </w:r>
      <w:r w:rsidRPr="00036097">
        <w:rPr>
          <w:rFonts w:eastAsia="Century Schoolbook"/>
        </w:rPr>
        <w:t xml:space="preserve">59 </w:t>
      </w:r>
      <w:r w:rsidRPr="009F549F">
        <w:rPr>
          <w:rFonts w:eastAsia="Century Schoolbook"/>
          <w:smallCaps/>
        </w:rPr>
        <w:t>Tax Notes Int’l</w:t>
      </w:r>
      <w:r w:rsidRPr="009F549F">
        <w:rPr>
          <w:rFonts w:eastAsia="Century Schoolbook"/>
        </w:rPr>
        <w:t xml:space="preserve"> 943, 943–44 (2010).</w:t>
      </w:r>
    </w:p>
  </w:footnote>
  <w:footnote w:id="91">
    <w:p w14:paraId="74AE50AE" w14:textId="203CBD34" w:rsidR="006E30B5" w:rsidRPr="009F549F" w:rsidRDefault="006E30B5">
      <w:pPr>
        <w:rPr>
          <w:rFonts w:eastAsia="Century Schoolbook"/>
          <w:b/>
        </w:rPr>
      </w:pPr>
      <w:r w:rsidRPr="009F549F">
        <w:rPr>
          <w:vertAlign w:val="superscript"/>
        </w:rPr>
        <w:footnoteRef/>
      </w:r>
      <w:r w:rsidRPr="009F549F">
        <w:rPr>
          <w:rFonts w:eastAsia="Century Schoolbook"/>
        </w:rPr>
        <w:t xml:space="preserve"> </w:t>
      </w:r>
      <w:r w:rsidRPr="009F549F">
        <w:rPr>
          <w:rFonts w:eastAsia="Century Schoolbook"/>
          <w:smallCaps/>
        </w:rPr>
        <w:t>OECD</w:t>
      </w:r>
      <w:r w:rsidRPr="009F549F">
        <w:rPr>
          <w:rFonts w:eastAsia="Century Schoolbook"/>
        </w:rPr>
        <w:t xml:space="preserve">, </w:t>
      </w:r>
      <w:r w:rsidRPr="009F549F">
        <w:rPr>
          <w:rFonts w:eastAsia="Century Schoolbook"/>
          <w:smallCaps/>
        </w:rPr>
        <w:t>Consumption Tax Trends 2020</w:t>
      </w:r>
      <w:r w:rsidRPr="009F549F">
        <w:rPr>
          <w:rFonts w:eastAsia="Century Schoolbook"/>
        </w:rPr>
        <w:t xml:space="preserve"> § 2.3; Ian Crawford, Michael Keen</w:t>
      </w:r>
      <w:r w:rsidRPr="007D6E99">
        <w:rPr>
          <w:rFonts w:ascii="Century Schoolbook" w:eastAsia="Century Schoolbook" w:hAnsi="Century Schoolbook" w:cs="Century Schoolbook"/>
          <w:sz w:val="20"/>
          <w:szCs w:val="20"/>
        </w:rPr>
        <w:t>,</w:t>
      </w:r>
      <w:r w:rsidRPr="009F549F">
        <w:rPr>
          <w:rFonts w:eastAsia="Century Schoolbook"/>
        </w:rPr>
        <w:t xml:space="preserve"> &amp; Stephen Smith, </w:t>
      </w:r>
      <w:r w:rsidRPr="009F549F">
        <w:rPr>
          <w:rFonts w:eastAsia="Century Schoolbook"/>
          <w:i/>
        </w:rPr>
        <w:t>Taxing Goods and Services</w:t>
      </w:r>
      <w:r w:rsidRPr="009F549F">
        <w:rPr>
          <w:rFonts w:eastAsia="Century Schoolbook"/>
        </w:rPr>
        <w:t xml:space="preserve">, </w:t>
      </w:r>
      <w:r w:rsidRPr="009F549F">
        <w:rPr>
          <w:rFonts w:eastAsia="Century Schoolbook"/>
          <w:i/>
        </w:rPr>
        <w:t>in</w:t>
      </w:r>
      <w:r w:rsidRPr="009F549F">
        <w:rPr>
          <w:rFonts w:eastAsia="Century Schoolbook"/>
        </w:rPr>
        <w:t xml:space="preserve"> </w:t>
      </w:r>
      <w:r w:rsidRPr="00036097">
        <w:rPr>
          <w:rFonts w:eastAsia="Century Schoolbook"/>
          <w:smallCaps/>
        </w:rPr>
        <w:t>Tax</w:t>
      </w:r>
      <w:r w:rsidRPr="009F549F">
        <w:rPr>
          <w:rFonts w:eastAsia="Century Schoolbook"/>
          <w:smallCaps/>
        </w:rPr>
        <w:t xml:space="preserve"> by Design</w:t>
      </w:r>
      <w:r w:rsidRPr="009F549F">
        <w:rPr>
          <w:rFonts w:eastAsia="Century Schoolbook"/>
        </w:rPr>
        <w:t xml:space="preserve"> 148, 154 (</w:t>
      </w:r>
      <w:r>
        <w:rPr>
          <w:rFonts w:eastAsia="Century Schoolbook"/>
        </w:rPr>
        <w:t xml:space="preserve">Sir </w:t>
      </w:r>
      <w:r w:rsidRPr="009F549F">
        <w:rPr>
          <w:rFonts w:eastAsia="Century Schoolbook"/>
        </w:rPr>
        <w:t xml:space="preserve">James A. </w:t>
      </w:r>
      <w:proofErr w:type="spellStart"/>
      <w:r w:rsidRPr="009F549F">
        <w:rPr>
          <w:rFonts w:eastAsia="Century Schoolbook"/>
        </w:rPr>
        <w:t>Mirrlees</w:t>
      </w:r>
      <w:proofErr w:type="spellEnd"/>
      <w:r w:rsidRPr="009F549F">
        <w:rPr>
          <w:rFonts w:eastAsia="Century Schoolbook"/>
        </w:rPr>
        <w:t xml:space="preserve"> et al. eds., 2011).</w:t>
      </w:r>
      <w:r w:rsidRPr="00036097">
        <w:rPr>
          <w:rFonts w:eastAsia="Century Schoolbook"/>
        </w:rPr>
        <w:t xml:space="preserve"> </w:t>
      </w:r>
    </w:p>
  </w:footnote>
  <w:footnote w:id="92">
    <w:p w14:paraId="5E5A1EEB" w14:textId="7971321C" w:rsidR="006E30B5" w:rsidRPr="009F549F" w:rsidRDefault="006E30B5">
      <w:pPr>
        <w:rPr>
          <w:rFonts w:eastAsia="Century Schoolbook"/>
        </w:rPr>
      </w:pPr>
      <w:r w:rsidRPr="009F549F">
        <w:rPr>
          <w:vertAlign w:val="superscript"/>
        </w:rPr>
        <w:footnoteRef/>
      </w:r>
      <w:r w:rsidRPr="00036097">
        <w:rPr>
          <w:rFonts w:eastAsia="Century Schoolbook"/>
        </w:rPr>
        <w:t xml:space="preserve"> Crawford, Keen &amp; Smith</w:t>
      </w:r>
      <w:r w:rsidRPr="0067714B">
        <w:rPr>
          <w:rFonts w:eastAsia="Century Schoolbook"/>
          <w:i/>
          <w:iCs/>
        </w:rPr>
        <w:t>,</w:t>
      </w:r>
      <w:r w:rsidRPr="00036097">
        <w:rPr>
          <w:rFonts w:eastAsia="Century Schoolbook"/>
        </w:rPr>
        <w:t xml:space="preserve"> </w:t>
      </w:r>
      <w:r w:rsidRPr="00036097">
        <w:rPr>
          <w:rFonts w:eastAsia="Century Schoolbook"/>
          <w:i/>
          <w:iCs/>
        </w:rPr>
        <w:t xml:space="preserve">supra </w:t>
      </w:r>
      <w:r w:rsidRPr="00036097">
        <w:rPr>
          <w:rFonts w:eastAsia="Century Schoolbook"/>
        </w:rPr>
        <w:t xml:space="preserve">note </w:t>
      </w:r>
      <w:r w:rsidRPr="00036097">
        <w:rPr>
          <w:rFonts w:eastAsia="Century Schoolbook"/>
        </w:rPr>
        <w:fldChar w:fldCharType="begin"/>
      </w:r>
      <w:r w:rsidRPr="00036097">
        <w:rPr>
          <w:rFonts w:eastAsia="Century Schoolbook"/>
        </w:rPr>
        <w:instrText xml:space="preserve"> NOTEREF _Ref115806517 \h  \* MERGEFORMAT </w:instrText>
      </w:r>
      <w:r w:rsidRPr="00036097">
        <w:rPr>
          <w:rFonts w:eastAsia="Century Schoolbook"/>
        </w:rPr>
      </w:r>
      <w:r w:rsidRPr="00036097">
        <w:rPr>
          <w:rFonts w:eastAsia="Century Schoolbook"/>
        </w:rPr>
        <w:fldChar w:fldCharType="separate"/>
      </w:r>
      <w:r>
        <w:rPr>
          <w:rFonts w:eastAsia="Century Schoolbook"/>
        </w:rPr>
        <w:t>91</w:t>
      </w:r>
      <w:r w:rsidRPr="00036097">
        <w:rPr>
          <w:rFonts w:eastAsia="Century Schoolbook"/>
        </w:rPr>
        <w:fldChar w:fldCharType="end"/>
      </w:r>
      <w:r w:rsidRPr="00036097">
        <w:rPr>
          <w:rFonts w:eastAsia="Century Schoolbook"/>
        </w:rPr>
        <w:t xml:space="preserve">, at 156. </w:t>
      </w:r>
    </w:p>
  </w:footnote>
  <w:footnote w:id="93">
    <w:p w14:paraId="4260F304" w14:textId="5980AD6A" w:rsidR="006E30B5" w:rsidRPr="009F549F" w:rsidRDefault="006E30B5">
      <w:pPr>
        <w:rPr>
          <w:rFonts w:eastAsia="Century Schoolbook"/>
          <w:b/>
        </w:rPr>
      </w:pPr>
      <w:r w:rsidRPr="009F549F">
        <w:rPr>
          <w:vertAlign w:val="superscript"/>
        </w:rPr>
        <w:footnoteRef/>
      </w:r>
      <w:r w:rsidRPr="009F549F">
        <w:rPr>
          <w:rFonts w:eastAsia="Century Schoolbook"/>
        </w:rPr>
        <w:t xml:space="preserve"> Peter Birch Sorenson, </w:t>
      </w:r>
      <w:r w:rsidRPr="009F549F">
        <w:rPr>
          <w:rFonts w:eastAsia="Century Schoolbook"/>
          <w:i/>
        </w:rPr>
        <w:t xml:space="preserve">Can Capital Taxes Survive? </w:t>
      </w:r>
      <w:r w:rsidRPr="009F549F">
        <w:rPr>
          <w:rFonts w:eastAsia="Century Schoolbook"/>
          <w:i/>
        </w:rPr>
        <w:t>And Should They?</w:t>
      </w:r>
      <w:r w:rsidRPr="009F549F">
        <w:rPr>
          <w:rFonts w:eastAsia="Century Schoolbook"/>
        </w:rPr>
        <w:t xml:space="preserve">, 53 </w:t>
      </w:r>
      <w:proofErr w:type="spellStart"/>
      <w:r w:rsidRPr="009F549F">
        <w:rPr>
          <w:rFonts w:eastAsia="Century Schoolbook"/>
          <w:smallCaps/>
        </w:rPr>
        <w:t>CESifo</w:t>
      </w:r>
      <w:proofErr w:type="spellEnd"/>
      <w:r w:rsidRPr="009F549F">
        <w:rPr>
          <w:rFonts w:eastAsia="Century Schoolbook"/>
          <w:smallCaps/>
        </w:rPr>
        <w:t xml:space="preserve"> Econ. Stud.</w:t>
      </w:r>
      <w:r w:rsidRPr="009F549F">
        <w:rPr>
          <w:rFonts w:eastAsia="Century Schoolbook"/>
        </w:rPr>
        <w:t xml:space="preserve"> 172, 187–88 (2007).</w:t>
      </w:r>
      <w:r w:rsidRPr="00036097">
        <w:rPr>
          <w:rFonts w:eastAsia="Century Schoolbook"/>
        </w:rPr>
        <w:t xml:space="preserve"> </w:t>
      </w:r>
    </w:p>
  </w:footnote>
  <w:footnote w:id="94">
    <w:p w14:paraId="1C57AB89" w14:textId="5C27A923" w:rsidR="006E30B5" w:rsidRPr="009F549F" w:rsidRDefault="006E30B5">
      <w:pPr>
        <w:rPr>
          <w:rFonts w:eastAsia="Century Schoolbook"/>
        </w:rPr>
      </w:pPr>
      <w:r w:rsidRPr="009F549F">
        <w:rPr>
          <w:vertAlign w:val="superscript"/>
        </w:rPr>
        <w:footnoteRef/>
      </w:r>
      <w:r w:rsidRPr="009F549F">
        <w:rPr>
          <w:rFonts w:eastAsia="Century Schoolbook"/>
        </w:rPr>
        <w:t xml:space="preserve"> John Brooks, Brian Galle</w:t>
      </w:r>
      <w:r w:rsidRPr="007D6E99">
        <w:rPr>
          <w:rFonts w:ascii="Century Schoolbook" w:eastAsia="Century Schoolbook" w:hAnsi="Century Schoolbook" w:cs="Century Schoolbook"/>
          <w:sz w:val="20"/>
          <w:szCs w:val="20"/>
        </w:rPr>
        <w:t>,</w:t>
      </w:r>
      <w:r w:rsidRPr="009F549F">
        <w:rPr>
          <w:rFonts w:eastAsia="Century Schoolbook"/>
        </w:rPr>
        <w:t xml:space="preserve"> &amp; Brendan Maher, </w:t>
      </w:r>
      <w:r w:rsidRPr="009F549F">
        <w:rPr>
          <w:rFonts w:eastAsia="Century Schoolbook"/>
          <w:i/>
        </w:rPr>
        <w:t>Cross-Subsidies: Government’s Hidden Pocketbook</w:t>
      </w:r>
      <w:r w:rsidRPr="009F549F">
        <w:rPr>
          <w:rFonts w:eastAsia="Century Schoolbook"/>
        </w:rPr>
        <w:t xml:space="preserve">, 106 </w:t>
      </w:r>
      <w:r w:rsidRPr="009F549F">
        <w:rPr>
          <w:rFonts w:eastAsia="Century Schoolbook"/>
          <w:smallCaps/>
        </w:rPr>
        <w:t>Geo</w:t>
      </w:r>
      <w:r w:rsidRPr="009F549F">
        <w:rPr>
          <w:rFonts w:eastAsia="Century Schoolbook"/>
        </w:rPr>
        <w:t xml:space="preserve">. L.J. 1229, 1253–55 (2018); David Gamage, </w:t>
      </w:r>
      <w:r w:rsidRPr="009F549F">
        <w:rPr>
          <w:rFonts w:eastAsia="Century Schoolbook"/>
          <w:i/>
        </w:rPr>
        <w:t>How Should Governments Promote Distributive Justice: A Framework for Analyzing the Optimal Choice of Tax Instruments</w:t>
      </w:r>
      <w:r w:rsidRPr="009F549F">
        <w:rPr>
          <w:rFonts w:eastAsia="Century Schoolbook"/>
        </w:rPr>
        <w:t xml:space="preserve">, 68 </w:t>
      </w:r>
      <w:r w:rsidRPr="009F549F">
        <w:rPr>
          <w:rFonts w:eastAsia="Century Schoolbook"/>
          <w:smallCaps/>
        </w:rPr>
        <w:t>Tax L. Rev.</w:t>
      </w:r>
      <w:r w:rsidRPr="009F549F">
        <w:rPr>
          <w:rFonts w:eastAsia="Century Schoolbook"/>
        </w:rPr>
        <w:t xml:space="preserve"> 1, 41–44 (2014).</w:t>
      </w:r>
    </w:p>
  </w:footnote>
  <w:footnote w:id="95">
    <w:p w14:paraId="6A5C5A65" w14:textId="342F641E" w:rsidR="006E30B5" w:rsidRPr="009F549F" w:rsidRDefault="006E30B5">
      <w:pPr>
        <w:rPr>
          <w:rFonts w:eastAsia="Century Schoolbook"/>
          <w:b/>
          <w:highlight w:val="white"/>
        </w:rPr>
      </w:pPr>
      <w:r w:rsidRPr="009F549F">
        <w:rPr>
          <w:vertAlign w:val="superscript"/>
        </w:rPr>
        <w:footnoteRef/>
      </w:r>
      <w:r w:rsidRPr="009F549F">
        <w:rPr>
          <w:rFonts w:eastAsia="Century Schoolbook"/>
        </w:rPr>
        <w:t xml:space="preserve"> </w:t>
      </w:r>
      <w:r w:rsidRPr="009F549F">
        <w:rPr>
          <w:rFonts w:eastAsia="Century Schoolbook"/>
          <w:highlight w:val="white"/>
        </w:rPr>
        <w:t xml:space="preserve">Alan J. Auerbach &amp; James R. Hines Jr., </w:t>
      </w:r>
      <w:r w:rsidRPr="009F549F">
        <w:rPr>
          <w:rFonts w:eastAsia="Century Schoolbook"/>
          <w:i/>
          <w:highlight w:val="white"/>
        </w:rPr>
        <w:t>Taxation and Economic Efficiency</w:t>
      </w:r>
      <w:r w:rsidRPr="009F549F">
        <w:rPr>
          <w:rFonts w:eastAsia="Century Schoolbook"/>
          <w:highlight w:val="white"/>
        </w:rPr>
        <w:t xml:space="preserve">, </w:t>
      </w:r>
      <w:r w:rsidRPr="009F549F">
        <w:rPr>
          <w:rFonts w:eastAsia="Century Schoolbook"/>
          <w:i/>
          <w:highlight w:val="white"/>
        </w:rPr>
        <w:t>in</w:t>
      </w:r>
      <w:r w:rsidRPr="009F549F">
        <w:rPr>
          <w:rFonts w:eastAsia="Century Schoolbook"/>
          <w:highlight w:val="white"/>
        </w:rPr>
        <w:t xml:space="preserve"> 3 </w:t>
      </w:r>
      <w:r w:rsidRPr="009F549F">
        <w:rPr>
          <w:rFonts w:eastAsia="Century Schoolbook"/>
          <w:smallCaps/>
          <w:highlight w:val="white"/>
        </w:rPr>
        <w:t>Handbook of Pub. Econ.</w:t>
      </w:r>
      <w:r w:rsidRPr="009F549F">
        <w:rPr>
          <w:rFonts w:eastAsia="Century Schoolbook"/>
          <w:highlight w:val="white"/>
        </w:rPr>
        <w:t xml:space="preserve"> 1347, 1415 (Alan J. Auerbach &amp; Martin Feldstein eds., 2002). For discussion of the deadweight loss concept, see, e.g.</w:t>
      </w:r>
      <w:r w:rsidRPr="009F549F">
        <w:rPr>
          <w:rFonts w:eastAsia="Century Schoolbook"/>
          <w:highlight w:val="white"/>
        </w:rPr>
        <w:t xml:space="preserve">, David Gamage &amp; Darien Shanske, </w:t>
      </w:r>
      <w:r w:rsidRPr="009F549F">
        <w:rPr>
          <w:rFonts w:eastAsia="Century Schoolbook"/>
          <w:i/>
          <w:highlight w:val="white"/>
        </w:rPr>
        <w:t>Tax Cannibalization and Fiscal Federalism in the United States</w:t>
      </w:r>
      <w:r w:rsidRPr="009F549F">
        <w:rPr>
          <w:rFonts w:eastAsia="Century Schoolbook"/>
          <w:highlight w:val="white"/>
        </w:rPr>
        <w:t xml:space="preserve">, </w:t>
      </w:r>
      <w:r w:rsidRPr="009F549F">
        <w:rPr>
          <w:rFonts w:eastAsia="Century Schoolbook"/>
          <w:smallCaps/>
          <w:highlight w:val="white"/>
        </w:rPr>
        <w:t xml:space="preserve">111 </w:t>
      </w:r>
      <w:r w:rsidRPr="0067714B">
        <w:rPr>
          <w:rFonts w:eastAsia="Century Schoolbook"/>
          <w:smallCaps/>
          <w:highlight w:val="white"/>
        </w:rPr>
        <w:t>Nw.</w:t>
      </w:r>
      <w:r w:rsidRPr="009F549F">
        <w:rPr>
          <w:rFonts w:eastAsia="Century Schoolbook"/>
          <w:smallCaps/>
          <w:highlight w:val="white"/>
        </w:rPr>
        <w:t xml:space="preserve"> U. L. Rev.</w:t>
      </w:r>
      <w:r w:rsidRPr="009F549F">
        <w:rPr>
          <w:rFonts w:eastAsia="Century Schoolbook"/>
          <w:highlight w:val="white"/>
        </w:rPr>
        <w:t xml:space="preserve"> 295, 304</w:t>
      </w:r>
      <w:r w:rsidRPr="00036097">
        <w:rPr>
          <w:rFonts w:eastAsia="Century Schoolbook"/>
          <w:highlight w:val="white"/>
        </w:rPr>
        <w:t>–</w:t>
      </w:r>
      <w:r w:rsidRPr="009F549F">
        <w:rPr>
          <w:rFonts w:eastAsia="Century Schoolbook"/>
          <w:highlight w:val="white"/>
        </w:rPr>
        <w:t>05</w:t>
      </w:r>
      <w:r w:rsidRPr="00036097">
        <w:rPr>
          <w:rFonts w:eastAsia="Century Schoolbook"/>
          <w:highlight w:val="white"/>
        </w:rPr>
        <w:t>,</w:t>
      </w:r>
      <w:r w:rsidRPr="009F549F">
        <w:rPr>
          <w:rFonts w:eastAsia="Century Schoolbook"/>
          <w:highlight w:val="white"/>
        </w:rPr>
        <w:t xml:space="preserve"> 352</w:t>
      </w:r>
      <w:r w:rsidRPr="00036097">
        <w:rPr>
          <w:rFonts w:eastAsia="Century Schoolbook"/>
          <w:highlight w:val="white"/>
        </w:rPr>
        <w:t>–</w:t>
      </w:r>
      <w:r w:rsidRPr="009F549F">
        <w:rPr>
          <w:rFonts w:eastAsia="Century Schoolbook"/>
          <w:highlight w:val="white"/>
        </w:rPr>
        <w:t xml:space="preserve">53 (2017); David Gamage, </w:t>
      </w:r>
      <w:r w:rsidRPr="00036097">
        <w:rPr>
          <w:rFonts w:eastAsia="Century Schoolbook"/>
          <w:i/>
          <w:iCs/>
          <w:highlight w:val="white"/>
        </w:rPr>
        <w:t xml:space="preserve">supra </w:t>
      </w:r>
      <w:r w:rsidRPr="00036097">
        <w:rPr>
          <w:rFonts w:eastAsia="Century Schoolbook"/>
          <w:highlight w:val="white"/>
        </w:rPr>
        <w:t xml:space="preserve">note </w:t>
      </w:r>
      <w:r>
        <w:rPr>
          <w:rFonts w:eastAsia="Century Schoolbook"/>
          <w:highlight w:val="white"/>
        </w:rPr>
        <w:fldChar w:fldCharType="begin"/>
      </w:r>
      <w:r>
        <w:rPr>
          <w:rFonts w:eastAsia="Century Schoolbook"/>
          <w:highlight w:val="white"/>
        </w:rPr>
        <w:instrText xml:space="preserve"> NOTEREF _Ref115624124 \h </w:instrText>
      </w:r>
      <w:r>
        <w:rPr>
          <w:rFonts w:eastAsia="Century Schoolbook"/>
          <w:highlight w:val="white"/>
        </w:rPr>
      </w:r>
      <w:r>
        <w:rPr>
          <w:rFonts w:eastAsia="Century Schoolbook"/>
          <w:highlight w:val="white"/>
        </w:rPr>
        <w:fldChar w:fldCharType="separate"/>
      </w:r>
      <w:r>
        <w:rPr>
          <w:rFonts w:eastAsia="Century Schoolbook"/>
          <w:highlight w:val="white"/>
        </w:rPr>
        <w:t>94</w:t>
      </w:r>
      <w:r>
        <w:rPr>
          <w:rFonts w:eastAsia="Century Schoolbook"/>
          <w:highlight w:val="white"/>
        </w:rPr>
        <w:fldChar w:fldCharType="end"/>
      </w:r>
      <w:r w:rsidRPr="00036097">
        <w:rPr>
          <w:rFonts w:eastAsia="Century Schoolbook"/>
          <w:highlight w:val="white"/>
        </w:rPr>
        <w:t>, at</w:t>
      </w:r>
      <w:r w:rsidRPr="009F549F">
        <w:rPr>
          <w:rFonts w:eastAsia="Century Schoolbook"/>
          <w:highlight w:val="white"/>
        </w:rPr>
        <w:t xml:space="preserve"> 16</w:t>
      </w:r>
      <w:r w:rsidRPr="00036097">
        <w:rPr>
          <w:rFonts w:eastAsia="Century Schoolbook"/>
          <w:highlight w:val="white"/>
        </w:rPr>
        <w:t>,</w:t>
      </w:r>
      <w:r w:rsidRPr="009F549F">
        <w:rPr>
          <w:rFonts w:eastAsia="Century Schoolbook"/>
          <w:highlight w:val="white"/>
        </w:rPr>
        <w:t xml:space="preserve"> 20</w:t>
      </w:r>
      <w:r w:rsidRPr="00036097">
        <w:rPr>
          <w:rFonts w:eastAsia="Century Schoolbook"/>
          <w:highlight w:val="white"/>
        </w:rPr>
        <w:t>–</w:t>
      </w:r>
      <w:r w:rsidRPr="009F549F">
        <w:rPr>
          <w:rFonts w:eastAsia="Century Schoolbook"/>
          <w:highlight w:val="white"/>
        </w:rPr>
        <w:t>22</w:t>
      </w:r>
      <w:r w:rsidRPr="00036097">
        <w:rPr>
          <w:rFonts w:eastAsia="Century Schoolbook"/>
          <w:highlight w:val="white"/>
        </w:rPr>
        <w:t xml:space="preserve">. </w:t>
      </w:r>
    </w:p>
  </w:footnote>
  <w:footnote w:id="96">
    <w:p w14:paraId="7404B44C" w14:textId="135F198E" w:rsidR="006E30B5" w:rsidRPr="009F549F" w:rsidRDefault="006E30B5">
      <w:pPr>
        <w:rPr>
          <w:rFonts w:eastAsia="Century Schoolbook"/>
        </w:rPr>
      </w:pPr>
      <w:r w:rsidRPr="009F549F">
        <w:rPr>
          <w:vertAlign w:val="superscript"/>
        </w:rPr>
        <w:footnoteRef/>
      </w:r>
      <w:r w:rsidRPr="009F549F">
        <w:rPr>
          <w:rFonts w:eastAsia="Century Schoolbook"/>
        </w:rPr>
        <w:t xml:space="preserve"> Gamage, </w:t>
      </w:r>
      <w:r w:rsidRPr="009F549F">
        <w:rPr>
          <w:rFonts w:eastAsia="Century Schoolbook"/>
          <w:i/>
        </w:rPr>
        <w:t>supra</w:t>
      </w:r>
      <w:r w:rsidRPr="009F549F">
        <w:rPr>
          <w:rFonts w:eastAsia="Century Schoolbook"/>
        </w:rPr>
        <w:t xml:space="preserve"> note </w:t>
      </w:r>
      <w:r w:rsidRPr="00036097">
        <w:rPr>
          <w:rFonts w:eastAsia="Century Schoolbook"/>
        </w:rPr>
        <w:fldChar w:fldCharType="begin"/>
      </w:r>
      <w:r w:rsidRPr="00036097">
        <w:rPr>
          <w:rFonts w:eastAsia="Century Schoolbook"/>
        </w:rPr>
        <w:instrText xml:space="preserve"> NOTEREF _Ref115624124 \h  \* MERGEFORMAT </w:instrText>
      </w:r>
      <w:r w:rsidRPr="00036097">
        <w:rPr>
          <w:rFonts w:eastAsia="Century Schoolbook"/>
        </w:rPr>
      </w:r>
      <w:r w:rsidRPr="00036097">
        <w:rPr>
          <w:rFonts w:eastAsia="Century Schoolbook"/>
        </w:rPr>
        <w:fldChar w:fldCharType="separate"/>
      </w:r>
      <w:r>
        <w:rPr>
          <w:rFonts w:eastAsia="Century Schoolbook"/>
        </w:rPr>
        <w:t>94</w:t>
      </w:r>
      <w:r w:rsidRPr="00036097">
        <w:rPr>
          <w:rFonts w:eastAsia="Century Schoolbook"/>
        </w:rPr>
        <w:fldChar w:fldCharType="end"/>
      </w:r>
      <w:r w:rsidRPr="00036097">
        <w:rPr>
          <w:rFonts w:eastAsia="Century Schoolbook"/>
        </w:rPr>
        <w:t>.</w:t>
      </w:r>
    </w:p>
  </w:footnote>
  <w:footnote w:id="97">
    <w:p w14:paraId="7385BF1E" w14:textId="77777777" w:rsidR="006E30B5" w:rsidRPr="009F549F" w:rsidRDefault="006E30B5">
      <w:pPr>
        <w:rPr>
          <w:rFonts w:eastAsia="Century Schoolbook"/>
        </w:rPr>
      </w:pPr>
      <w:r w:rsidRPr="009F549F">
        <w:rPr>
          <w:vertAlign w:val="superscript"/>
        </w:rPr>
        <w:footnoteRef/>
      </w:r>
      <w:r w:rsidRPr="009F549F">
        <w:rPr>
          <w:rFonts w:eastAsia="Century Schoolbook"/>
        </w:rPr>
        <w:t xml:space="preserve"> </w:t>
      </w:r>
      <w:r w:rsidRPr="009F549F">
        <w:rPr>
          <w:rFonts w:eastAsia="Century Schoolbook"/>
          <w:i/>
        </w:rPr>
        <w:t>Id.</w:t>
      </w:r>
      <w:r w:rsidRPr="009F549F">
        <w:rPr>
          <w:rFonts w:eastAsia="Century Schoolbook"/>
        </w:rPr>
        <w:t xml:space="preserve"> at 35–39.</w:t>
      </w:r>
    </w:p>
  </w:footnote>
  <w:footnote w:id="98">
    <w:p w14:paraId="6D01D74F" w14:textId="42640D97" w:rsidR="006E30B5" w:rsidRPr="009F549F" w:rsidRDefault="006E30B5">
      <w:pPr>
        <w:rPr>
          <w:rFonts w:eastAsia="Century Schoolbook"/>
          <w:b/>
        </w:rPr>
      </w:pPr>
      <w:r w:rsidRPr="009F549F">
        <w:rPr>
          <w:vertAlign w:val="superscript"/>
        </w:rPr>
        <w:footnoteRef/>
      </w:r>
      <w:r w:rsidRPr="009F549F">
        <w:rPr>
          <w:rFonts w:eastAsia="Century Schoolbook"/>
        </w:rPr>
        <w:t xml:space="preserve"> David Gamage, </w:t>
      </w:r>
      <w:r w:rsidRPr="009F549F">
        <w:rPr>
          <w:rFonts w:eastAsia="Century Schoolbook"/>
          <w:i/>
        </w:rPr>
        <w:t xml:space="preserve">The Case for Taxing (All </w:t>
      </w:r>
      <w:r w:rsidRPr="00036097">
        <w:rPr>
          <w:rFonts w:eastAsia="Century Schoolbook"/>
          <w:i/>
        </w:rPr>
        <w:t>of</w:t>
      </w:r>
      <w:r w:rsidRPr="009F549F">
        <w:rPr>
          <w:rFonts w:eastAsia="Century Schoolbook"/>
          <w:i/>
        </w:rPr>
        <w:t>) Labor Income, Consumption, Capital Income, and Wealth</w:t>
      </w:r>
      <w:r w:rsidRPr="009F549F">
        <w:rPr>
          <w:rFonts w:eastAsia="Century Schoolbook"/>
        </w:rPr>
        <w:t xml:space="preserve">, 68 </w:t>
      </w:r>
      <w:r w:rsidRPr="009F549F">
        <w:rPr>
          <w:rFonts w:eastAsia="Century Schoolbook"/>
          <w:smallCaps/>
        </w:rPr>
        <w:t xml:space="preserve">Tax L. Rev. </w:t>
      </w:r>
      <w:r w:rsidRPr="009F549F">
        <w:rPr>
          <w:rFonts w:eastAsia="Century Schoolbook"/>
        </w:rPr>
        <w:t xml:space="preserve">355, 387–400 (2015) [hereinafter Gamage, </w:t>
      </w:r>
      <w:r w:rsidRPr="009F549F">
        <w:rPr>
          <w:rFonts w:eastAsia="Century Schoolbook"/>
          <w:i/>
        </w:rPr>
        <w:t>Case</w:t>
      </w:r>
      <w:r w:rsidRPr="009F549F">
        <w:rPr>
          <w:rFonts w:eastAsia="Century Schoolbook"/>
        </w:rPr>
        <w:t>]; Brian Galle, David Gamage</w:t>
      </w:r>
      <w:r w:rsidRPr="007D6E99">
        <w:rPr>
          <w:rFonts w:ascii="Century Schoolbook" w:eastAsia="Century Schoolbook" w:hAnsi="Century Schoolbook" w:cs="Century Schoolbook"/>
          <w:sz w:val="20"/>
          <w:szCs w:val="20"/>
        </w:rPr>
        <w:t>,</w:t>
      </w:r>
      <w:r w:rsidRPr="009F549F">
        <w:rPr>
          <w:rFonts w:eastAsia="Century Schoolbook"/>
        </w:rPr>
        <w:t xml:space="preserve"> &amp; </w:t>
      </w:r>
      <w:proofErr w:type="spellStart"/>
      <w:r w:rsidRPr="009F549F">
        <w:rPr>
          <w:rFonts w:eastAsia="Century Schoolbook"/>
        </w:rPr>
        <w:t>Yulia</w:t>
      </w:r>
      <w:proofErr w:type="spellEnd"/>
      <w:r w:rsidRPr="009F549F">
        <w:rPr>
          <w:rFonts w:eastAsia="Century Schoolbook"/>
        </w:rPr>
        <w:t xml:space="preserve"> </w:t>
      </w:r>
      <w:proofErr w:type="spellStart"/>
      <w:r w:rsidRPr="009F549F">
        <w:rPr>
          <w:rFonts w:eastAsia="Century Schoolbook"/>
        </w:rPr>
        <w:t>Kuchomova</w:t>
      </w:r>
      <w:proofErr w:type="spellEnd"/>
      <w:r w:rsidRPr="009F549F">
        <w:rPr>
          <w:rFonts w:eastAsia="Century Schoolbook"/>
        </w:rPr>
        <w:t xml:space="preserve">, </w:t>
      </w:r>
      <w:r w:rsidRPr="009F549F">
        <w:rPr>
          <w:rFonts w:eastAsia="Century Schoolbook"/>
          <w:i/>
        </w:rPr>
        <w:t>Tax Avoidance and the Choice of Tax Base</w:t>
      </w:r>
      <w:r w:rsidRPr="009F549F">
        <w:rPr>
          <w:rFonts w:eastAsia="Century Schoolbook"/>
        </w:rPr>
        <w:t>, 17–25 (Sept. 21, 2021) (unpublished manuscript) (on file with authors).</w:t>
      </w:r>
      <w:r w:rsidRPr="00036097">
        <w:rPr>
          <w:rFonts w:eastAsia="Century Schoolbook"/>
        </w:rPr>
        <w:t xml:space="preserve"> </w:t>
      </w:r>
    </w:p>
  </w:footnote>
  <w:footnote w:id="99">
    <w:p w14:paraId="7AADE3D0" w14:textId="757ED3C6" w:rsidR="006E30B5" w:rsidRPr="009F549F" w:rsidRDefault="006E30B5">
      <w:pPr>
        <w:rPr>
          <w:rFonts w:eastAsia="Century Schoolbook"/>
        </w:rPr>
      </w:pPr>
      <w:r w:rsidRPr="009F549F">
        <w:rPr>
          <w:vertAlign w:val="superscript"/>
        </w:rPr>
        <w:footnoteRef/>
      </w:r>
      <w:r w:rsidRPr="009F549F">
        <w:rPr>
          <w:rFonts w:eastAsia="Century Schoolbook"/>
        </w:rPr>
        <w:t xml:space="preserve"> Gamage, </w:t>
      </w:r>
      <w:r w:rsidRPr="009F549F">
        <w:rPr>
          <w:rFonts w:eastAsia="Century Schoolbook"/>
          <w:i/>
        </w:rPr>
        <w:t>Case</w:t>
      </w:r>
      <w:r w:rsidRPr="009F549F">
        <w:rPr>
          <w:rFonts w:eastAsia="Century Schoolbook"/>
        </w:rPr>
        <w:t xml:space="preserve">, </w:t>
      </w:r>
      <w:r w:rsidRPr="009F549F">
        <w:rPr>
          <w:rFonts w:eastAsia="Century Schoolbook"/>
          <w:i/>
        </w:rPr>
        <w:t>supra</w:t>
      </w:r>
      <w:r w:rsidRPr="009F549F">
        <w:rPr>
          <w:rFonts w:eastAsia="Century Schoolbook"/>
        </w:rPr>
        <w:t xml:space="preserve"> note </w:t>
      </w:r>
      <w:r w:rsidRPr="00036097">
        <w:rPr>
          <w:rFonts w:eastAsia="Century Schoolbook"/>
        </w:rPr>
        <w:fldChar w:fldCharType="begin"/>
      </w:r>
      <w:r w:rsidRPr="00036097">
        <w:rPr>
          <w:rFonts w:eastAsia="Century Schoolbook"/>
        </w:rPr>
        <w:instrText xml:space="preserve"> NOTEREF _Ref115643055 \h  \* MERGEFORMAT </w:instrText>
      </w:r>
      <w:r w:rsidRPr="00036097">
        <w:rPr>
          <w:rFonts w:eastAsia="Century Schoolbook"/>
        </w:rPr>
      </w:r>
      <w:r w:rsidRPr="00036097">
        <w:rPr>
          <w:rFonts w:eastAsia="Century Schoolbook"/>
        </w:rPr>
        <w:fldChar w:fldCharType="separate"/>
      </w:r>
      <w:r>
        <w:rPr>
          <w:rFonts w:eastAsia="Century Schoolbook"/>
        </w:rPr>
        <w:t>98</w:t>
      </w:r>
      <w:r w:rsidRPr="00036097">
        <w:rPr>
          <w:rFonts w:eastAsia="Century Schoolbook"/>
        </w:rPr>
        <w:fldChar w:fldCharType="end"/>
      </w:r>
      <w:r w:rsidRPr="00036097">
        <w:rPr>
          <w:rFonts w:eastAsia="Century Schoolbook"/>
        </w:rPr>
        <w:t>,</w:t>
      </w:r>
      <w:r w:rsidRPr="009F549F">
        <w:rPr>
          <w:rFonts w:eastAsia="Century Schoolbook"/>
        </w:rPr>
        <w:t xml:space="preserve"> at </w:t>
      </w:r>
      <w:r w:rsidRPr="00036097">
        <w:rPr>
          <w:rFonts w:eastAsia="Century Schoolbook"/>
        </w:rPr>
        <w:t>407</w:t>
      </w:r>
      <w:r w:rsidRPr="009F549F">
        <w:rPr>
          <w:rFonts w:eastAsia="Century Schoolbook"/>
        </w:rPr>
        <w:t xml:space="preserve">–13. Multiple tax systems can also be efficient if the distortions of one system tend to offset the distortions of the other. The wealth tax and income taxes, at least in some institutional contexts, may provide an example. </w:t>
      </w:r>
      <w:r w:rsidRPr="009F549F">
        <w:rPr>
          <w:rFonts w:eastAsia="Century Schoolbook"/>
          <w:smallCaps/>
        </w:rPr>
        <w:t xml:space="preserve">Marie </w:t>
      </w:r>
      <w:proofErr w:type="spellStart"/>
      <w:r w:rsidRPr="009F549F">
        <w:rPr>
          <w:rFonts w:eastAsia="Century Schoolbook"/>
          <w:smallCaps/>
        </w:rPr>
        <w:t>Bjorneby</w:t>
      </w:r>
      <w:proofErr w:type="spellEnd"/>
      <w:r w:rsidRPr="009F549F">
        <w:rPr>
          <w:rFonts w:eastAsia="Century Schoolbook"/>
          <w:smallCaps/>
        </w:rPr>
        <w:t xml:space="preserve">, </w:t>
      </w:r>
      <w:proofErr w:type="spellStart"/>
      <w:r w:rsidRPr="009F549F">
        <w:rPr>
          <w:rFonts w:eastAsia="Century Schoolbook"/>
          <w:smallCaps/>
        </w:rPr>
        <w:t>Simen</w:t>
      </w:r>
      <w:proofErr w:type="spellEnd"/>
      <w:r w:rsidRPr="009F549F">
        <w:rPr>
          <w:rFonts w:eastAsia="Century Schoolbook"/>
          <w:smallCaps/>
        </w:rPr>
        <w:t xml:space="preserve"> </w:t>
      </w:r>
      <w:proofErr w:type="spellStart"/>
      <w:r w:rsidRPr="009F549F">
        <w:rPr>
          <w:rFonts w:eastAsia="Century Schoolbook"/>
          <w:smallCaps/>
        </w:rPr>
        <w:t>Markussen</w:t>
      </w:r>
      <w:proofErr w:type="spellEnd"/>
      <w:r w:rsidRPr="007D6E99">
        <w:rPr>
          <w:rFonts w:ascii="Century Schoolbook" w:eastAsia="Century Schoolbook" w:hAnsi="Century Schoolbook" w:cs="Century Schoolbook"/>
          <w:sz w:val="20"/>
          <w:szCs w:val="20"/>
        </w:rPr>
        <w:t>,</w:t>
      </w:r>
      <w:r w:rsidRPr="009F549F">
        <w:rPr>
          <w:rFonts w:eastAsia="Century Schoolbook"/>
          <w:smallCaps/>
        </w:rPr>
        <w:t xml:space="preserve"> &amp; Knut </w:t>
      </w:r>
      <w:proofErr w:type="spellStart"/>
      <w:r w:rsidRPr="009F549F">
        <w:rPr>
          <w:rFonts w:eastAsia="Century Schoolbook"/>
          <w:smallCaps/>
        </w:rPr>
        <w:t>Roed</w:t>
      </w:r>
      <w:proofErr w:type="spellEnd"/>
      <w:r w:rsidRPr="009F549F">
        <w:rPr>
          <w:rFonts w:eastAsia="Century Schoolbook"/>
        </w:rPr>
        <w:t xml:space="preserve">, </w:t>
      </w:r>
      <w:r w:rsidRPr="007D6E99">
        <w:rPr>
          <w:rFonts w:ascii="Century Schoolbook" w:eastAsia="Century Schoolbook" w:hAnsi="Century Schoolbook" w:cs="Century Schoolbook"/>
          <w:i/>
          <w:sz w:val="20"/>
          <w:szCs w:val="20"/>
        </w:rPr>
        <w:t>Does the Wealth Tax Kill Jobs?</w:t>
      </w:r>
      <w:r w:rsidRPr="007D6E99">
        <w:rPr>
          <w:rFonts w:ascii="Century Schoolbook" w:eastAsia="Century Schoolbook" w:hAnsi="Century Schoolbook" w:cs="Century Schoolbook"/>
          <w:sz w:val="20"/>
          <w:szCs w:val="20"/>
        </w:rPr>
        <w:t xml:space="preserve">, </w:t>
      </w:r>
      <w:r w:rsidRPr="009F549F">
        <w:rPr>
          <w:rFonts w:eastAsia="Century Schoolbook"/>
          <w:smallCaps/>
        </w:rPr>
        <w:t xml:space="preserve">IZA </w:t>
      </w:r>
      <w:r w:rsidRPr="007F2351">
        <w:rPr>
          <w:rFonts w:eastAsia="Century Schoolbook"/>
          <w:smallCaps/>
        </w:rPr>
        <w:t>Inst</w:t>
      </w:r>
      <w:r>
        <w:rPr>
          <w:rFonts w:eastAsia="Century Schoolbook"/>
          <w:smallCaps/>
        </w:rPr>
        <w:t>.</w:t>
      </w:r>
      <w:r w:rsidRPr="00FF5549">
        <w:rPr>
          <w:rFonts w:eastAsia="Century Schoolbook"/>
          <w:smallCaps/>
        </w:rPr>
        <w:t xml:space="preserve"> of Lab</w:t>
      </w:r>
      <w:r>
        <w:rPr>
          <w:rFonts w:eastAsia="Century Schoolbook"/>
          <w:smallCaps/>
        </w:rPr>
        <w:t>.</w:t>
      </w:r>
      <w:r w:rsidRPr="00FF5549">
        <w:rPr>
          <w:rFonts w:eastAsia="Century Schoolbook"/>
          <w:smallCaps/>
        </w:rPr>
        <w:t xml:space="preserve"> Econ</w:t>
      </w:r>
      <w:r>
        <w:rPr>
          <w:rFonts w:eastAsia="Century Schoolbook"/>
          <w:smallCaps/>
        </w:rPr>
        <w:t>.</w:t>
      </w:r>
      <w:r w:rsidRPr="007F2351">
        <w:rPr>
          <w:rFonts w:eastAsia="Century Schoolbook"/>
          <w:smallCaps/>
        </w:rPr>
        <w:t xml:space="preserve"> </w:t>
      </w:r>
      <w:r w:rsidRPr="009F549F">
        <w:rPr>
          <w:rFonts w:eastAsia="Century Schoolbook"/>
          <w:smallCaps/>
        </w:rPr>
        <w:t>Discussion Papers</w:t>
      </w:r>
      <w:r w:rsidRPr="007F2351">
        <w:rPr>
          <w:rFonts w:eastAsia="Century Schoolbook"/>
          <w:smallCaps/>
        </w:rPr>
        <w:t>,</w:t>
      </w:r>
      <w:r w:rsidRPr="009F549F">
        <w:rPr>
          <w:rFonts w:eastAsia="Century Schoolbook"/>
          <w:smallCaps/>
        </w:rPr>
        <w:t xml:space="preserve"> No. 13766,</w:t>
      </w:r>
      <w:r w:rsidRPr="009F549F">
        <w:rPr>
          <w:rFonts w:eastAsia="Century Schoolbook"/>
          <w:i/>
        </w:rPr>
        <w:t xml:space="preserve"> </w:t>
      </w:r>
      <w:r w:rsidRPr="007E0153">
        <w:rPr>
          <w:rFonts w:eastAsia="Century Schoolbook"/>
          <w:iCs/>
          <w:smallCaps/>
        </w:rPr>
        <w:t>Does the Wealth Tax Kill Jobs?</w:t>
      </w:r>
      <w:r w:rsidRPr="009F549F" w:rsidDel="00564031">
        <w:rPr>
          <w:rFonts w:eastAsia="Century Schoolbook"/>
          <w:smallCaps/>
        </w:rPr>
        <w:t xml:space="preserve"> </w:t>
      </w:r>
      <w:r w:rsidRPr="009F549F">
        <w:rPr>
          <w:rFonts w:eastAsia="Century Schoolbook"/>
        </w:rPr>
        <w:t>16, 24–25 (</w:t>
      </w:r>
      <w:r w:rsidRPr="007F2351">
        <w:rPr>
          <w:rFonts w:eastAsia="Century Schoolbook"/>
        </w:rPr>
        <w:t xml:space="preserve">Oct. </w:t>
      </w:r>
      <w:r w:rsidRPr="009F549F">
        <w:rPr>
          <w:rFonts w:eastAsia="Century Schoolbook"/>
        </w:rPr>
        <w:t>2020</w:t>
      </w:r>
      <w:r w:rsidRPr="007F2351">
        <w:rPr>
          <w:rFonts w:eastAsia="Century Schoolbook"/>
        </w:rPr>
        <w:t>).</w:t>
      </w:r>
    </w:p>
  </w:footnote>
  <w:footnote w:id="100">
    <w:p w14:paraId="7C0994FA" w14:textId="1B617489" w:rsidR="006E30B5" w:rsidRPr="009F549F" w:rsidRDefault="006E30B5">
      <w:pPr>
        <w:rPr>
          <w:rFonts w:eastAsia="Century Schoolbook"/>
        </w:rPr>
      </w:pPr>
      <w:r w:rsidRPr="009F549F">
        <w:rPr>
          <w:vertAlign w:val="superscript"/>
        </w:rPr>
        <w:footnoteRef/>
      </w:r>
      <w:r w:rsidRPr="009F549F">
        <w:rPr>
          <w:rFonts w:eastAsia="Century Schoolbook"/>
        </w:rPr>
        <w:t xml:space="preserve"> </w:t>
      </w:r>
      <w:proofErr w:type="spellStart"/>
      <w:r w:rsidRPr="009F549F">
        <w:rPr>
          <w:rFonts w:eastAsia="Century Schoolbook"/>
        </w:rPr>
        <w:t>Charlet</w:t>
      </w:r>
      <w:proofErr w:type="spellEnd"/>
      <w:r w:rsidRPr="009F549F">
        <w:rPr>
          <w:rFonts w:eastAsia="Century Schoolbook"/>
        </w:rPr>
        <w:t xml:space="preserve"> &amp; Owens, </w:t>
      </w:r>
      <w:r w:rsidRPr="009F549F">
        <w:rPr>
          <w:rFonts w:eastAsia="Century Schoolbook"/>
          <w:i/>
        </w:rPr>
        <w:t>supra</w:t>
      </w:r>
      <w:r w:rsidRPr="009F549F">
        <w:rPr>
          <w:rFonts w:eastAsia="Century Schoolbook"/>
        </w:rPr>
        <w:t xml:space="preserve"> note </w:t>
      </w:r>
      <w:r w:rsidRPr="00036097">
        <w:rPr>
          <w:rFonts w:eastAsia="Century Schoolbook"/>
        </w:rPr>
        <w:fldChar w:fldCharType="begin"/>
      </w:r>
      <w:r w:rsidRPr="00036097">
        <w:rPr>
          <w:rFonts w:eastAsia="Century Schoolbook"/>
        </w:rPr>
        <w:instrText xml:space="preserve"> NOTEREF _Ref115781899 \h  \* MERGEFORMAT </w:instrText>
      </w:r>
      <w:r w:rsidRPr="00036097">
        <w:rPr>
          <w:rFonts w:eastAsia="Century Schoolbook"/>
        </w:rPr>
      </w:r>
      <w:r w:rsidRPr="00036097">
        <w:rPr>
          <w:rFonts w:eastAsia="Century Schoolbook"/>
        </w:rPr>
        <w:fldChar w:fldCharType="separate"/>
      </w:r>
      <w:r>
        <w:rPr>
          <w:rFonts w:eastAsia="Century Schoolbook"/>
        </w:rPr>
        <w:t>90</w:t>
      </w:r>
      <w:r w:rsidRPr="00036097">
        <w:rPr>
          <w:rFonts w:eastAsia="Century Schoolbook"/>
        </w:rPr>
        <w:fldChar w:fldCharType="end"/>
      </w:r>
      <w:r w:rsidRPr="00036097">
        <w:rPr>
          <w:rFonts w:eastAsia="Century Schoolbook"/>
        </w:rPr>
        <w:t>,</w:t>
      </w:r>
      <w:r w:rsidRPr="009F549F">
        <w:rPr>
          <w:rFonts w:eastAsia="Century Schoolbook"/>
        </w:rPr>
        <w:t xml:space="preserve"> at 953.</w:t>
      </w:r>
    </w:p>
  </w:footnote>
  <w:footnote w:id="101">
    <w:p w14:paraId="16A522C0" w14:textId="668AFD98" w:rsidR="006E30B5" w:rsidRPr="009F549F" w:rsidRDefault="006E30B5">
      <w:pPr>
        <w:rPr>
          <w:rFonts w:eastAsia="Century Schoolbook"/>
        </w:rPr>
      </w:pPr>
      <w:r w:rsidRPr="009F549F">
        <w:rPr>
          <w:vertAlign w:val="superscript"/>
        </w:rPr>
        <w:footnoteRef/>
      </w:r>
      <w:r w:rsidRPr="009F549F">
        <w:rPr>
          <w:rFonts w:eastAsia="Century Schoolbook"/>
        </w:rPr>
        <w:t xml:space="preserve"> Gamage, </w:t>
      </w:r>
      <w:r w:rsidRPr="009F549F">
        <w:rPr>
          <w:rFonts w:eastAsia="Century Schoolbook"/>
          <w:i/>
        </w:rPr>
        <w:t>Case</w:t>
      </w:r>
      <w:r w:rsidRPr="009F549F">
        <w:rPr>
          <w:rFonts w:eastAsia="Century Schoolbook"/>
        </w:rPr>
        <w:t xml:space="preserve">, </w:t>
      </w:r>
      <w:r w:rsidRPr="009F549F">
        <w:rPr>
          <w:rFonts w:eastAsia="Century Schoolbook"/>
          <w:i/>
        </w:rPr>
        <w:t>supra</w:t>
      </w:r>
      <w:r w:rsidRPr="009F549F">
        <w:rPr>
          <w:rFonts w:eastAsia="Century Schoolbook"/>
        </w:rPr>
        <w:t xml:space="preserve"> note </w:t>
      </w:r>
      <w:r w:rsidRPr="00036097">
        <w:rPr>
          <w:rFonts w:eastAsia="Century Schoolbook"/>
        </w:rPr>
        <w:fldChar w:fldCharType="begin"/>
      </w:r>
      <w:r w:rsidRPr="00036097">
        <w:rPr>
          <w:rFonts w:eastAsia="Century Schoolbook"/>
        </w:rPr>
        <w:instrText xml:space="preserve"> NOTEREF _Ref115643055 \h  \* MERGEFORMAT </w:instrText>
      </w:r>
      <w:r w:rsidRPr="00036097">
        <w:rPr>
          <w:rFonts w:eastAsia="Century Schoolbook"/>
        </w:rPr>
      </w:r>
      <w:r w:rsidRPr="00036097">
        <w:rPr>
          <w:rFonts w:eastAsia="Century Schoolbook"/>
        </w:rPr>
        <w:fldChar w:fldCharType="separate"/>
      </w:r>
      <w:r>
        <w:rPr>
          <w:rFonts w:eastAsia="Century Schoolbook"/>
        </w:rPr>
        <w:t>98</w:t>
      </w:r>
      <w:r w:rsidRPr="00036097">
        <w:rPr>
          <w:rFonts w:eastAsia="Century Schoolbook"/>
        </w:rPr>
        <w:fldChar w:fldCharType="end"/>
      </w:r>
      <w:r w:rsidRPr="00036097">
        <w:rPr>
          <w:rFonts w:eastAsia="Century Schoolbook"/>
        </w:rPr>
        <w:t>,</w:t>
      </w:r>
      <w:r w:rsidRPr="009F549F">
        <w:rPr>
          <w:rFonts w:eastAsia="Century Schoolbook"/>
        </w:rPr>
        <w:t xml:space="preserve"> at 431–37.</w:t>
      </w:r>
    </w:p>
  </w:footnote>
  <w:footnote w:id="102">
    <w:p w14:paraId="5832D0D4" w14:textId="141212A6" w:rsidR="006E30B5" w:rsidRPr="009F549F" w:rsidRDefault="006E30B5">
      <w:pPr>
        <w:rPr>
          <w:rFonts w:eastAsia="Century Schoolbook"/>
          <w:b/>
        </w:rPr>
      </w:pPr>
      <w:r w:rsidRPr="009F549F">
        <w:rPr>
          <w:vertAlign w:val="superscript"/>
        </w:rPr>
        <w:footnoteRef/>
      </w:r>
      <w:r w:rsidRPr="009F549F">
        <w:rPr>
          <w:rFonts w:eastAsia="Century Schoolbook"/>
        </w:rPr>
        <w:t xml:space="preserve"> </w:t>
      </w:r>
      <w:r w:rsidRPr="009F549F">
        <w:rPr>
          <w:rFonts w:eastAsia="Century Schoolbook"/>
          <w:i/>
        </w:rPr>
        <w:t>See</w:t>
      </w:r>
      <w:r>
        <w:rPr>
          <w:rFonts w:eastAsia="Century Schoolbook"/>
        </w:rPr>
        <w:t xml:space="preserve"> </w:t>
      </w:r>
      <w:r w:rsidRPr="009F549F">
        <w:rPr>
          <w:rFonts w:eastAsia="Century Schoolbook"/>
          <w:highlight w:val="white"/>
        </w:rPr>
        <w:t xml:space="preserve">George K. Yin, </w:t>
      </w:r>
      <w:r w:rsidRPr="009F549F">
        <w:rPr>
          <w:rFonts w:eastAsia="Century Schoolbook"/>
          <w:i/>
          <w:highlight w:val="white"/>
        </w:rPr>
        <w:t>The Taxation of Private Business Enterprises: Some Policy Questions Stimulated by the “Check-the-Box” Regulations</w:t>
      </w:r>
      <w:r w:rsidRPr="009F549F">
        <w:rPr>
          <w:rFonts w:eastAsia="Century Schoolbook"/>
          <w:highlight w:val="white"/>
        </w:rPr>
        <w:t xml:space="preserve">, 51 SMU </w:t>
      </w:r>
      <w:r w:rsidRPr="009F549F">
        <w:rPr>
          <w:rFonts w:eastAsia="Century Schoolbook"/>
          <w:smallCaps/>
          <w:highlight w:val="white"/>
        </w:rPr>
        <w:t>L. Rev.</w:t>
      </w:r>
      <w:r w:rsidRPr="009F549F">
        <w:rPr>
          <w:rFonts w:eastAsia="Century Schoolbook"/>
          <w:highlight w:val="white"/>
        </w:rPr>
        <w:t xml:space="preserve"> 125, 132 (1997)</w:t>
      </w:r>
      <w:r>
        <w:rPr>
          <w:rFonts w:eastAsia="Century Schoolbook"/>
          <w:highlight w:val="white"/>
        </w:rPr>
        <w:t xml:space="preserve"> (discussing effects of the corporate income tax on firms' choice of financing structures)</w:t>
      </w:r>
      <w:r w:rsidRPr="009F549F">
        <w:rPr>
          <w:rFonts w:eastAsia="Century Schoolbook"/>
        </w:rPr>
        <w:t xml:space="preserve">. </w:t>
      </w:r>
    </w:p>
  </w:footnote>
  <w:footnote w:id="103">
    <w:p w14:paraId="30822DE2" w14:textId="28621E7D" w:rsidR="006E30B5" w:rsidRPr="009F549F" w:rsidRDefault="006E30B5">
      <w:pPr>
        <w:rPr>
          <w:rFonts w:eastAsia="Century Schoolbook"/>
        </w:rPr>
      </w:pPr>
      <w:r w:rsidRPr="009F549F">
        <w:rPr>
          <w:vertAlign w:val="superscript"/>
        </w:rPr>
        <w:footnoteRef/>
      </w:r>
      <w:r w:rsidRPr="009F549F">
        <w:rPr>
          <w:rFonts w:eastAsia="Century Schoolbook"/>
        </w:rPr>
        <w:t xml:space="preserve"> OECD, </w:t>
      </w:r>
      <w:r w:rsidRPr="009F549F">
        <w:rPr>
          <w:rFonts w:eastAsia="Century Schoolbook"/>
          <w:i/>
        </w:rPr>
        <w:t xml:space="preserve">supra </w:t>
      </w:r>
      <w:r w:rsidRPr="009F549F">
        <w:rPr>
          <w:rFonts w:eastAsia="Century Schoolbook"/>
        </w:rPr>
        <w:t xml:space="preserve">note </w:t>
      </w:r>
      <w:r w:rsidRPr="00036097">
        <w:rPr>
          <w:rFonts w:eastAsia="Century Schoolbook"/>
        </w:rPr>
        <w:fldChar w:fldCharType="begin"/>
      </w:r>
      <w:r w:rsidRPr="00036097">
        <w:rPr>
          <w:rFonts w:eastAsia="Century Schoolbook"/>
        </w:rPr>
        <w:instrText xml:space="preserve"> NOTEREF _Ref115603676 \h  \* MERGEFORMAT </w:instrText>
      </w:r>
      <w:r w:rsidRPr="00036097">
        <w:rPr>
          <w:rFonts w:eastAsia="Century Schoolbook"/>
        </w:rPr>
      </w:r>
      <w:r w:rsidRPr="00036097">
        <w:rPr>
          <w:rFonts w:eastAsia="Century Schoolbook"/>
        </w:rPr>
        <w:fldChar w:fldCharType="separate"/>
      </w:r>
      <w:r>
        <w:rPr>
          <w:rFonts w:eastAsia="Century Schoolbook"/>
        </w:rPr>
        <w:t>23</w:t>
      </w:r>
      <w:r w:rsidRPr="00036097">
        <w:rPr>
          <w:rFonts w:eastAsia="Century Schoolbook"/>
        </w:rPr>
        <w:fldChar w:fldCharType="end"/>
      </w:r>
      <w:r w:rsidRPr="00036097">
        <w:rPr>
          <w:rFonts w:eastAsia="Century Schoolbook"/>
        </w:rPr>
        <w:t>,</w:t>
      </w:r>
      <w:r w:rsidRPr="009F549F">
        <w:rPr>
          <w:rFonts w:eastAsia="Century Schoolbook"/>
        </w:rPr>
        <w:t xml:space="preserve"> at 16.</w:t>
      </w:r>
    </w:p>
  </w:footnote>
  <w:footnote w:id="104">
    <w:p w14:paraId="0D26FAEA" w14:textId="4C6D3799" w:rsidR="006E30B5" w:rsidRPr="009F549F" w:rsidRDefault="006E30B5">
      <w:pPr>
        <w:rPr>
          <w:rFonts w:eastAsia="Century Schoolbook"/>
        </w:rPr>
      </w:pPr>
      <w:r w:rsidRPr="009F549F">
        <w:rPr>
          <w:vertAlign w:val="superscript"/>
        </w:rPr>
        <w:footnoteRef/>
      </w:r>
      <w:r w:rsidRPr="009F549F">
        <w:rPr>
          <w:rFonts w:eastAsia="Century Schoolbook"/>
        </w:rPr>
        <w:t xml:space="preserve"> </w:t>
      </w:r>
      <w:r w:rsidRPr="009F549F">
        <w:rPr>
          <w:rFonts w:eastAsia="Century Schoolbook"/>
          <w:i/>
        </w:rPr>
        <w:t>E.g.</w:t>
      </w:r>
      <w:r w:rsidRPr="009F549F">
        <w:rPr>
          <w:rFonts w:eastAsia="Century Schoolbook"/>
        </w:rPr>
        <w:t xml:space="preserve">, Robin </w:t>
      </w:r>
      <w:proofErr w:type="spellStart"/>
      <w:r w:rsidRPr="009F549F">
        <w:rPr>
          <w:rFonts w:eastAsia="Century Schoolbook"/>
        </w:rPr>
        <w:t>Boadway</w:t>
      </w:r>
      <w:proofErr w:type="spellEnd"/>
      <w:r w:rsidRPr="009F549F">
        <w:rPr>
          <w:rFonts w:eastAsia="Century Schoolbook"/>
        </w:rPr>
        <w:t>, Emma Chamberlain</w:t>
      </w:r>
      <w:r w:rsidRPr="007D6E99">
        <w:rPr>
          <w:rFonts w:ascii="Century Schoolbook" w:eastAsia="Century Schoolbook" w:hAnsi="Century Schoolbook" w:cs="Century Schoolbook"/>
          <w:sz w:val="20"/>
          <w:szCs w:val="20"/>
        </w:rPr>
        <w:t>,</w:t>
      </w:r>
      <w:r w:rsidRPr="009F549F">
        <w:rPr>
          <w:rFonts w:eastAsia="Century Schoolbook"/>
        </w:rPr>
        <w:t xml:space="preserve"> &amp; Carl Emmerson, </w:t>
      </w:r>
      <w:r w:rsidRPr="00036097">
        <w:rPr>
          <w:rFonts w:eastAsia="Century Schoolbook"/>
          <w:i/>
          <w:iCs/>
        </w:rPr>
        <w:t xml:space="preserve">supra </w:t>
      </w:r>
      <w:r w:rsidRPr="00036097">
        <w:rPr>
          <w:rFonts w:eastAsia="Century Schoolbook"/>
        </w:rPr>
        <w:t xml:space="preserve">note </w:t>
      </w:r>
      <w:r w:rsidRPr="00036097">
        <w:rPr>
          <w:rFonts w:eastAsia="Century Schoolbook"/>
        </w:rPr>
        <w:fldChar w:fldCharType="begin"/>
      </w:r>
      <w:r w:rsidRPr="00036097">
        <w:rPr>
          <w:rFonts w:eastAsia="Century Schoolbook"/>
        </w:rPr>
        <w:instrText xml:space="preserve"> NOTEREF _Ref115605004 \h  \* MERGEFORMAT </w:instrText>
      </w:r>
      <w:r w:rsidRPr="00036097">
        <w:rPr>
          <w:rFonts w:eastAsia="Century Schoolbook"/>
        </w:rPr>
      </w:r>
      <w:r w:rsidRPr="00036097">
        <w:rPr>
          <w:rFonts w:eastAsia="Century Schoolbook"/>
        </w:rPr>
        <w:fldChar w:fldCharType="separate"/>
      </w:r>
      <w:r>
        <w:rPr>
          <w:rFonts w:eastAsia="Century Schoolbook"/>
        </w:rPr>
        <w:t>20</w:t>
      </w:r>
      <w:r w:rsidRPr="00036097">
        <w:rPr>
          <w:rFonts w:eastAsia="Century Schoolbook"/>
        </w:rPr>
        <w:fldChar w:fldCharType="end"/>
      </w:r>
      <w:r w:rsidRPr="00036097">
        <w:rPr>
          <w:rFonts w:eastAsia="Century Schoolbook"/>
        </w:rPr>
        <w:t>, 786–87.</w:t>
      </w:r>
    </w:p>
  </w:footnote>
  <w:footnote w:id="105">
    <w:p w14:paraId="2B74A53F" w14:textId="7562DF7C" w:rsidR="006E30B5" w:rsidRPr="009F549F" w:rsidRDefault="006E30B5">
      <w:pPr>
        <w:rPr>
          <w:rFonts w:eastAsia="Century Schoolbook"/>
          <w:b/>
        </w:rPr>
      </w:pPr>
      <w:r w:rsidRPr="009F549F">
        <w:rPr>
          <w:vertAlign w:val="superscript"/>
        </w:rPr>
        <w:footnoteRef/>
      </w:r>
      <w:r w:rsidRPr="009F549F">
        <w:rPr>
          <w:rFonts w:eastAsia="Century Schoolbook"/>
        </w:rPr>
        <w:t xml:space="preserve"> </w:t>
      </w:r>
      <w:r w:rsidRPr="009F549F">
        <w:rPr>
          <w:rFonts w:eastAsia="Century Schoolbook"/>
          <w:i/>
        </w:rPr>
        <w:t>See</w:t>
      </w:r>
      <w:r w:rsidRPr="009F549F">
        <w:rPr>
          <w:rFonts w:eastAsia="Century Schoolbook"/>
        </w:rPr>
        <w:t xml:space="preserve"> sources cited</w:t>
      </w:r>
      <w:r w:rsidRPr="009F549F">
        <w:rPr>
          <w:rFonts w:eastAsia="Century Schoolbook"/>
          <w:i/>
        </w:rPr>
        <w:t xml:space="preserve"> supra</w:t>
      </w:r>
      <w:r w:rsidRPr="009F549F">
        <w:rPr>
          <w:rFonts w:eastAsia="Century Schoolbook"/>
        </w:rPr>
        <w:t xml:space="preserve"> note </w:t>
      </w:r>
      <w:r>
        <w:rPr>
          <w:rFonts w:eastAsia="Century Schoolbook"/>
        </w:rPr>
        <w:fldChar w:fldCharType="begin"/>
      </w:r>
      <w:r>
        <w:rPr>
          <w:rFonts w:eastAsia="Century Schoolbook"/>
        </w:rPr>
        <w:instrText xml:space="preserve"> NOTEREF _Ref115157070 \h </w:instrText>
      </w:r>
      <w:r>
        <w:rPr>
          <w:rFonts w:eastAsia="Century Schoolbook"/>
        </w:rPr>
      </w:r>
      <w:r>
        <w:rPr>
          <w:rFonts w:eastAsia="Century Schoolbook"/>
        </w:rPr>
        <w:fldChar w:fldCharType="separate"/>
      </w:r>
      <w:r>
        <w:rPr>
          <w:rFonts w:eastAsia="Century Schoolbook"/>
        </w:rPr>
        <w:t>76</w:t>
      </w:r>
      <w:r>
        <w:rPr>
          <w:rFonts w:eastAsia="Century Schoolbook"/>
        </w:rPr>
        <w:fldChar w:fldCharType="end"/>
      </w:r>
      <w:r>
        <w:rPr>
          <w:rFonts w:eastAsia="Century Schoolbook"/>
        </w:rPr>
        <w:t xml:space="preserve">, </w:t>
      </w:r>
      <w:r>
        <w:rPr>
          <w:rFonts w:eastAsia="Century Schoolbook"/>
        </w:rPr>
        <w:fldChar w:fldCharType="begin"/>
      </w:r>
      <w:r>
        <w:rPr>
          <w:rFonts w:eastAsia="Century Schoolbook"/>
        </w:rPr>
        <w:instrText xml:space="preserve"> NOTEREF _Ref120264344 \h </w:instrText>
      </w:r>
      <w:r>
        <w:rPr>
          <w:rFonts w:eastAsia="Century Schoolbook"/>
        </w:rPr>
      </w:r>
      <w:r>
        <w:rPr>
          <w:rFonts w:eastAsia="Century Schoolbook"/>
        </w:rPr>
        <w:fldChar w:fldCharType="separate"/>
      </w:r>
      <w:r>
        <w:rPr>
          <w:rFonts w:eastAsia="Century Schoolbook"/>
        </w:rPr>
        <w:t>79</w:t>
      </w:r>
      <w:r>
        <w:rPr>
          <w:rFonts w:eastAsia="Century Schoolbook"/>
        </w:rPr>
        <w:fldChar w:fldCharType="end"/>
      </w:r>
      <w:r w:rsidRPr="00036097">
        <w:rPr>
          <w:rFonts w:eastAsia="Century Schoolbook"/>
        </w:rPr>
        <w:t>.</w:t>
      </w:r>
    </w:p>
  </w:footnote>
  <w:footnote w:id="106">
    <w:p w14:paraId="34F42B3E" w14:textId="356E5F0B" w:rsidR="006E30B5" w:rsidRPr="009F549F" w:rsidRDefault="006E30B5">
      <w:pPr>
        <w:rPr>
          <w:rFonts w:eastAsia="Century Schoolbook"/>
        </w:rPr>
      </w:pPr>
      <w:r w:rsidRPr="009F549F">
        <w:rPr>
          <w:vertAlign w:val="superscript"/>
        </w:rPr>
        <w:footnoteRef/>
      </w:r>
      <w:r w:rsidRPr="009F549F">
        <w:rPr>
          <w:rFonts w:eastAsia="Century Schoolbook"/>
        </w:rPr>
        <w:t xml:space="preserve"> </w:t>
      </w:r>
      <w:proofErr w:type="spellStart"/>
      <w:r w:rsidRPr="009F549F">
        <w:rPr>
          <w:rFonts w:eastAsia="Century Schoolbook"/>
        </w:rPr>
        <w:t>Saez</w:t>
      </w:r>
      <w:proofErr w:type="spellEnd"/>
      <w:r w:rsidRPr="009F549F">
        <w:rPr>
          <w:rFonts w:eastAsia="Century Schoolbook"/>
        </w:rPr>
        <w:t xml:space="preserve"> &amp; Zucman, </w:t>
      </w:r>
      <w:r w:rsidRPr="009F549F">
        <w:rPr>
          <w:rFonts w:eastAsia="Century Schoolbook"/>
          <w:i/>
        </w:rPr>
        <w:t>supra</w:t>
      </w:r>
      <w:r w:rsidRPr="009F549F">
        <w:rPr>
          <w:rFonts w:eastAsia="Century Schoolbook"/>
        </w:rPr>
        <w:t xml:space="preserve"> note </w:t>
      </w:r>
      <w:r w:rsidRPr="00036097">
        <w:rPr>
          <w:rFonts w:eastAsia="Century Schoolbook"/>
        </w:rPr>
        <w:fldChar w:fldCharType="begin"/>
      </w:r>
      <w:r w:rsidRPr="00036097">
        <w:rPr>
          <w:rFonts w:eastAsia="Century Schoolbook"/>
        </w:rPr>
        <w:instrText xml:space="preserve"> NOTEREF _Ref115729465 \h  \* MERGEFORMAT </w:instrText>
      </w:r>
      <w:r w:rsidRPr="00036097">
        <w:rPr>
          <w:rFonts w:eastAsia="Century Schoolbook"/>
        </w:rPr>
      </w:r>
      <w:r w:rsidRPr="00036097">
        <w:rPr>
          <w:rFonts w:eastAsia="Century Schoolbook"/>
        </w:rPr>
        <w:fldChar w:fldCharType="separate"/>
      </w:r>
      <w:r>
        <w:rPr>
          <w:rFonts w:eastAsia="Century Schoolbook"/>
        </w:rPr>
        <w:t>86</w:t>
      </w:r>
      <w:r w:rsidRPr="00036097">
        <w:rPr>
          <w:rFonts w:eastAsia="Century Schoolbook"/>
        </w:rPr>
        <w:fldChar w:fldCharType="end"/>
      </w:r>
      <w:r w:rsidRPr="00036097">
        <w:rPr>
          <w:rFonts w:eastAsia="Century Schoolbook"/>
        </w:rPr>
        <w:t>,</w:t>
      </w:r>
      <w:r w:rsidRPr="009F549F">
        <w:rPr>
          <w:rFonts w:eastAsia="Century Schoolbook"/>
        </w:rPr>
        <w:t xml:space="preserve"> at 474–80; </w:t>
      </w:r>
      <w:r w:rsidRPr="009F549F">
        <w:rPr>
          <w:rFonts w:eastAsia="Century Schoolbook"/>
          <w:smallCaps/>
        </w:rPr>
        <w:t xml:space="preserve">Sarah </w:t>
      </w:r>
      <w:r w:rsidRPr="00720DF7">
        <w:rPr>
          <w:rFonts w:eastAsia="Century Schoolbook"/>
          <w:smallCaps/>
        </w:rPr>
        <w:t>Perret</w:t>
      </w:r>
      <w:r w:rsidRPr="00036097">
        <w:rPr>
          <w:rFonts w:eastAsia="Century Schoolbook"/>
        </w:rPr>
        <w:t xml:space="preserve">, </w:t>
      </w:r>
      <w:r w:rsidRPr="003E37F0">
        <w:rPr>
          <w:rFonts w:eastAsia="Century Schoolbook"/>
          <w:smallCaps/>
        </w:rPr>
        <w:t>Wealth Tax Comm’n</w:t>
      </w:r>
      <w:r w:rsidRPr="00036097">
        <w:rPr>
          <w:rFonts w:eastAsia="Century Schoolbook"/>
        </w:rPr>
        <w:t xml:space="preserve"> </w:t>
      </w:r>
      <w:r w:rsidRPr="003E37F0">
        <w:rPr>
          <w:rFonts w:eastAsia="Century Schoolbook"/>
          <w:smallCaps/>
        </w:rPr>
        <w:t>Evidence Paper</w:t>
      </w:r>
      <w:r>
        <w:rPr>
          <w:rFonts w:eastAsia="Century Schoolbook"/>
          <w:smallCaps/>
        </w:rPr>
        <w:t>s, No. 6</w:t>
      </w:r>
      <w:r w:rsidRPr="009F549F">
        <w:rPr>
          <w:rFonts w:eastAsia="Century Schoolbook"/>
          <w:smallCaps/>
        </w:rPr>
        <w:t>,</w:t>
      </w:r>
      <w:r w:rsidRPr="009F549F">
        <w:rPr>
          <w:rFonts w:eastAsia="Century Schoolbook"/>
          <w:i/>
        </w:rPr>
        <w:t xml:space="preserve"> </w:t>
      </w:r>
      <w:r w:rsidRPr="009F549F">
        <w:rPr>
          <w:rFonts w:eastAsia="Century Schoolbook"/>
          <w:smallCaps/>
        </w:rPr>
        <w:t>Why Did Other Wealth Taxes Fail and Is This Time Different</w:t>
      </w:r>
      <w:r w:rsidRPr="00720DF7">
        <w:rPr>
          <w:rFonts w:eastAsia="Century Schoolbook"/>
          <w:iCs/>
          <w:smallCaps/>
        </w:rPr>
        <w:t>?</w:t>
      </w:r>
      <w:r w:rsidRPr="009F549F">
        <w:rPr>
          <w:rFonts w:eastAsia="Century Schoolbook"/>
        </w:rPr>
        <w:t xml:space="preserve"> 22 (2020); </w:t>
      </w:r>
      <w:r w:rsidRPr="009F549F">
        <w:rPr>
          <w:rFonts w:eastAsia="Century Schoolbook"/>
          <w:i/>
        </w:rPr>
        <w:t>see</w:t>
      </w:r>
      <w:r w:rsidRPr="009F549F">
        <w:rPr>
          <w:rFonts w:eastAsia="Century Schoolbook"/>
        </w:rPr>
        <w:t xml:space="preserve"> Anne </w:t>
      </w:r>
      <w:proofErr w:type="spellStart"/>
      <w:r w:rsidRPr="009F549F">
        <w:rPr>
          <w:rFonts w:eastAsia="Century Schoolbook"/>
        </w:rPr>
        <w:t>Iara</w:t>
      </w:r>
      <w:proofErr w:type="spellEnd"/>
      <w:r w:rsidRPr="009F549F">
        <w:rPr>
          <w:rFonts w:eastAsia="Century Schoolbook"/>
        </w:rPr>
        <w:t xml:space="preserve">, </w:t>
      </w:r>
      <w:r w:rsidRPr="009F549F">
        <w:rPr>
          <w:rFonts w:eastAsia="Century Schoolbook"/>
          <w:i/>
        </w:rPr>
        <w:t xml:space="preserve">Wealth </w:t>
      </w:r>
      <w:r w:rsidRPr="00036097">
        <w:rPr>
          <w:rFonts w:eastAsia="Century Schoolbook"/>
          <w:i/>
        </w:rPr>
        <w:t>Distribution</w:t>
      </w:r>
      <w:r w:rsidRPr="009F549F">
        <w:rPr>
          <w:rFonts w:eastAsia="Century Schoolbook"/>
          <w:i/>
        </w:rPr>
        <w:t xml:space="preserve"> and </w:t>
      </w:r>
      <w:r w:rsidRPr="00036097">
        <w:rPr>
          <w:rFonts w:eastAsia="Century Schoolbook"/>
          <w:i/>
        </w:rPr>
        <w:t>Taxation</w:t>
      </w:r>
      <w:r w:rsidRPr="009F549F">
        <w:rPr>
          <w:rFonts w:eastAsia="Century Schoolbook"/>
          <w:i/>
        </w:rPr>
        <w:t xml:space="preserve"> in EU Members </w:t>
      </w:r>
      <w:r w:rsidRPr="009F549F">
        <w:rPr>
          <w:rFonts w:eastAsia="Century Schoolbook"/>
        </w:rPr>
        <w:t>9</w:t>
      </w:r>
      <w:r w:rsidRPr="00036097">
        <w:rPr>
          <w:rFonts w:eastAsia="Century Schoolbook"/>
        </w:rPr>
        <w:t xml:space="preserve"> (</w:t>
      </w:r>
      <w:r w:rsidRPr="009F549F">
        <w:rPr>
          <w:rFonts w:eastAsia="Century Schoolbook"/>
        </w:rPr>
        <w:t xml:space="preserve">Eur. </w:t>
      </w:r>
      <w:r w:rsidRPr="00036097">
        <w:rPr>
          <w:rFonts w:eastAsia="Century Schoolbook"/>
        </w:rPr>
        <w:t>Comm’n Taxation</w:t>
      </w:r>
      <w:r w:rsidRPr="009F549F">
        <w:rPr>
          <w:rFonts w:eastAsia="Century Schoolbook"/>
        </w:rPr>
        <w:t xml:space="preserve"> Papers</w:t>
      </w:r>
      <w:r w:rsidRPr="00036097">
        <w:rPr>
          <w:rFonts w:eastAsia="Century Schoolbook"/>
        </w:rPr>
        <w:t>,</w:t>
      </w:r>
      <w:r w:rsidRPr="009F549F">
        <w:rPr>
          <w:rFonts w:eastAsia="Century Schoolbook"/>
        </w:rPr>
        <w:t xml:space="preserve"> Working Paper No. 60</w:t>
      </w:r>
      <w:r w:rsidRPr="00036097">
        <w:rPr>
          <w:rFonts w:eastAsia="Century Schoolbook"/>
        </w:rPr>
        <w:t xml:space="preserve">, </w:t>
      </w:r>
      <w:r w:rsidRPr="009F549F" w:rsidDel="007745AC">
        <w:rPr>
          <w:rFonts w:eastAsia="Century Schoolbook"/>
        </w:rPr>
        <w:t>2015</w:t>
      </w:r>
      <w:r w:rsidRPr="009F549F">
        <w:rPr>
          <w:rFonts w:eastAsia="Century Schoolbook"/>
        </w:rPr>
        <w:t>), https://ec.europa.eu/taxation_customs/system/files/2016-09/taxation_paper_60.pdf</w:t>
      </w:r>
      <w:r w:rsidRPr="00036097">
        <w:rPr>
          <w:rFonts w:eastAsia="Century Schoolbook"/>
        </w:rPr>
        <w:t xml:space="preserve"> [</w:t>
      </w:r>
      <w:r w:rsidRPr="004B0221">
        <w:t>https://perma.cc/KKV7-KLN5</w:t>
      </w:r>
      <w:r w:rsidRPr="00036097">
        <w:rPr>
          <w:rStyle w:val="Strong"/>
          <w:color w:val="2D76EE"/>
        </w:rPr>
        <w:t>]</w:t>
      </w:r>
      <w:r w:rsidRPr="00036097">
        <w:rPr>
          <w:rFonts w:eastAsia="Century Schoolbook"/>
        </w:rPr>
        <w:t>;</w:t>
      </w:r>
      <w:r w:rsidRPr="009F549F">
        <w:rPr>
          <w:rFonts w:eastAsia="Century Schoolbook"/>
        </w:rPr>
        <w:t xml:space="preserve"> OECD, </w:t>
      </w:r>
      <w:r w:rsidRPr="009F549F">
        <w:rPr>
          <w:rFonts w:eastAsia="Century Schoolbook"/>
          <w:i/>
        </w:rPr>
        <w:t xml:space="preserve">supra </w:t>
      </w:r>
      <w:r w:rsidRPr="009F549F">
        <w:rPr>
          <w:rFonts w:eastAsia="Century Schoolbook"/>
        </w:rPr>
        <w:t xml:space="preserve">note </w:t>
      </w:r>
      <w:r w:rsidRPr="00036097">
        <w:rPr>
          <w:rFonts w:eastAsia="Century Schoolbook"/>
        </w:rPr>
        <w:fldChar w:fldCharType="begin"/>
      </w:r>
      <w:r w:rsidRPr="00036097">
        <w:rPr>
          <w:rFonts w:eastAsia="Century Schoolbook"/>
        </w:rPr>
        <w:instrText xml:space="preserve"> NOTEREF _Ref115603676 \h  \* MERGEFORMAT </w:instrText>
      </w:r>
      <w:r w:rsidRPr="00036097">
        <w:rPr>
          <w:rFonts w:eastAsia="Century Schoolbook"/>
        </w:rPr>
      </w:r>
      <w:r w:rsidRPr="00036097">
        <w:rPr>
          <w:rFonts w:eastAsia="Century Schoolbook"/>
        </w:rPr>
        <w:fldChar w:fldCharType="separate"/>
      </w:r>
      <w:r>
        <w:rPr>
          <w:rFonts w:eastAsia="Century Schoolbook"/>
        </w:rPr>
        <w:t>23</w:t>
      </w:r>
      <w:r w:rsidRPr="00036097">
        <w:rPr>
          <w:rFonts w:eastAsia="Century Schoolbook"/>
        </w:rPr>
        <w:fldChar w:fldCharType="end"/>
      </w:r>
      <w:r w:rsidRPr="00036097">
        <w:rPr>
          <w:rFonts w:eastAsia="Century Schoolbook"/>
        </w:rPr>
        <w:t>,</w:t>
      </w:r>
      <w:r w:rsidRPr="009F549F">
        <w:rPr>
          <w:rFonts w:eastAsia="Century Schoolbook"/>
        </w:rPr>
        <w:t xml:space="preserve"> at 17</w:t>
      </w:r>
      <w:r w:rsidRPr="00036097">
        <w:rPr>
          <w:rFonts w:eastAsia="Century Schoolbook"/>
        </w:rPr>
        <w:t>,</w:t>
      </w:r>
      <w:r w:rsidRPr="00036097" w:rsidDel="00843BFC">
        <w:rPr>
          <w:rFonts w:eastAsia="Century Schoolbook"/>
        </w:rPr>
        <w:t xml:space="preserve"> </w:t>
      </w:r>
      <w:r w:rsidRPr="00036097">
        <w:rPr>
          <w:rFonts w:eastAsia="Century Schoolbook"/>
        </w:rPr>
        <w:t>62, 68</w:t>
      </w:r>
      <w:r w:rsidRPr="009F549F">
        <w:rPr>
          <w:rFonts w:eastAsia="Century Schoolbook"/>
        </w:rPr>
        <w:t xml:space="preserve"> (attributing repeals to tax havens, avoidance, and evasion</w:t>
      </w:r>
      <w:r>
        <w:rPr>
          <w:rFonts w:eastAsia="Century Schoolbook"/>
        </w:rPr>
        <w:t>,</w:t>
      </w:r>
      <w:r w:rsidRPr="009F549F">
        <w:rPr>
          <w:rFonts w:eastAsia="Century Schoolbook"/>
        </w:rPr>
        <w:t xml:space="preserve"> as well as to “narrow tax base</w:t>
      </w:r>
      <w:r>
        <w:rPr>
          <w:rFonts w:eastAsia="Century Schoolbook"/>
        </w:rPr>
        <w:t>,</w:t>
      </w:r>
      <w:r w:rsidRPr="00036097">
        <w:rPr>
          <w:rFonts w:eastAsia="Century Schoolbook"/>
        </w:rPr>
        <w:t xml:space="preserve">” and </w:t>
      </w:r>
      <w:r w:rsidRPr="009F549F">
        <w:rPr>
          <w:rFonts w:eastAsia="Century Schoolbook"/>
        </w:rPr>
        <w:t xml:space="preserve">summarizing studies finding that wealth taxes have primarily affected tax avoidance, not the real economy); Thomas A. McDonnell, </w:t>
      </w:r>
      <w:r w:rsidRPr="009F549F">
        <w:rPr>
          <w:rFonts w:eastAsia="Century Schoolbook"/>
          <w:i/>
        </w:rPr>
        <w:t xml:space="preserve">Wealth Tax: Options for Its Implementation in the Republic of Ireland </w:t>
      </w:r>
      <w:r w:rsidRPr="009F549F">
        <w:rPr>
          <w:rFonts w:eastAsia="Century Schoolbook"/>
        </w:rPr>
        <w:t>21</w:t>
      </w:r>
      <w:r w:rsidRPr="00036097">
        <w:rPr>
          <w:rFonts w:eastAsia="Century Schoolbook"/>
        </w:rPr>
        <w:t xml:space="preserve"> (</w:t>
      </w:r>
      <w:r w:rsidRPr="009F549F">
        <w:rPr>
          <w:rFonts w:eastAsia="Century Schoolbook"/>
        </w:rPr>
        <w:t xml:space="preserve">Nevin Econ. </w:t>
      </w:r>
      <w:proofErr w:type="spellStart"/>
      <w:r w:rsidRPr="00036097">
        <w:rPr>
          <w:rFonts w:eastAsia="Century Schoolbook"/>
        </w:rPr>
        <w:t>Rs</w:t>
      </w:r>
      <w:r>
        <w:rPr>
          <w:rFonts w:eastAsia="Century Schoolbook"/>
        </w:rPr>
        <w:t>ch</w:t>
      </w:r>
      <w:proofErr w:type="spellEnd"/>
      <w:r w:rsidRPr="009F549F">
        <w:rPr>
          <w:rFonts w:eastAsia="Century Schoolbook"/>
        </w:rPr>
        <w:t>. Inst</w:t>
      </w:r>
      <w:r w:rsidRPr="00036097">
        <w:rPr>
          <w:rFonts w:eastAsia="Century Schoolbook"/>
        </w:rPr>
        <w:t>.,</w:t>
      </w:r>
      <w:r w:rsidRPr="009F549F">
        <w:rPr>
          <w:rFonts w:eastAsia="Century Schoolbook"/>
        </w:rPr>
        <w:t xml:space="preserve"> Working Paper No.</w:t>
      </w:r>
      <w:r w:rsidRPr="00036097">
        <w:rPr>
          <w:rFonts w:eastAsia="Century Schoolbook"/>
        </w:rPr>
        <w:t xml:space="preserve"> 6, Se</w:t>
      </w:r>
      <w:r>
        <w:rPr>
          <w:rFonts w:eastAsia="Century Schoolbook"/>
        </w:rPr>
        <w:t>p.</w:t>
      </w:r>
      <w:r w:rsidRPr="009F549F">
        <w:rPr>
          <w:rFonts w:eastAsia="Century Schoolbook"/>
        </w:rPr>
        <w:t xml:space="preserve"> 2013</w:t>
      </w:r>
      <w:r w:rsidRPr="00036097">
        <w:rPr>
          <w:rFonts w:eastAsia="Century Schoolbook"/>
        </w:rPr>
        <w:t>)</w:t>
      </w:r>
      <w:r w:rsidRPr="009F549F">
        <w:rPr>
          <w:rFonts w:eastAsia="Century Schoolbook"/>
        </w:rPr>
        <w:t xml:space="preserve"> (attributing decline to “capital mobility” and “visibility” of wealth taxes). For other recent evidence on avoidance of the wealth tax, see </w:t>
      </w:r>
      <w:r w:rsidRPr="00036097">
        <w:rPr>
          <w:rFonts w:eastAsia="Century Schoolbook"/>
        </w:rPr>
        <w:t xml:space="preserve">generally </w:t>
      </w:r>
      <w:r w:rsidRPr="009F549F">
        <w:rPr>
          <w:rFonts w:eastAsia="Century Schoolbook"/>
        </w:rPr>
        <w:t>Katrine Jakobsen</w:t>
      </w:r>
      <w:r w:rsidRPr="00036097">
        <w:rPr>
          <w:rFonts w:eastAsia="Century Schoolbook"/>
        </w:rPr>
        <w:t xml:space="preserve">, Kristian Jakobsen, Henrik </w:t>
      </w:r>
      <w:proofErr w:type="spellStart"/>
      <w:r w:rsidRPr="00036097">
        <w:rPr>
          <w:rFonts w:eastAsia="Century Schoolbook"/>
        </w:rPr>
        <w:t>Kleven</w:t>
      </w:r>
      <w:proofErr w:type="spellEnd"/>
      <w:r w:rsidRPr="00036097">
        <w:rPr>
          <w:rFonts w:eastAsia="Century Schoolbook"/>
        </w:rPr>
        <w:t xml:space="preserve"> &amp; Gabriel Zucman,</w:t>
      </w:r>
      <w:r w:rsidRPr="009F549F">
        <w:rPr>
          <w:rFonts w:eastAsia="Century Schoolbook"/>
        </w:rPr>
        <w:t xml:space="preserve"> </w:t>
      </w:r>
      <w:r w:rsidRPr="009F549F">
        <w:rPr>
          <w:rFonts w:eastAsia="Century Schoolbook"/>
          <w:i/>
        </w:rPr>
        <w:t>Wealth Taxation and Wealth Accumulation: Theory and Evidence from Denmark</w:t>
      </w:r>
      <w:r w:rsidRPr="009F549F">
        <w:rPr>
          <w:rFonts w:eastAsia="Century Schoolbook"/>
        </w:rPr>
        <w:t>, 135 Q.</w:t>
      </w:r>
      <w:r w:rsidRPr="007D6E99">
        <w:rPr>
          <w:rFonts w:ascii="Century Schoolbook" w:eastAsia="Century Schoolbook" w:hAnsi="Century Schoolbook" w:cs="Century Schoolbook"/>
          <w:sz w:val="20"/>
          <w:szCs w:val="20"/>
        </w:rPr>
        <w:t xml:space="preserve"> </w:t>
      </w:r>
      <w:r w:rsidRPr="009F549F">
        <w:rPr>
          <w:rFonts w:eastAsia="Century Schoolbook"/>
        </w:rPr>
        <w:t xml:space="preserve">J. </w:t>
      </w:r>
      <w:r w:rsidRPr="009F549F">
        <w:rPr>
          <w:rFonts w:eastAsia="Century Schoolbook"/>
          <w:smallCaps/>
        </w:rPr>
        <w:t>Econ</w:t>
      </w:r>
      <w:r w:rsidRPr="009F549F">
        <w:rPr>
          <w:rFonts w:eastAsia="Century Schoolbook"/>
        </w:rPr>
        <w:t>. 329</w:t>
      </w:r>
      <w:r w:rsidRPr="007D6E99">
        <w:rPr>
          <w:rFonts w:ascii="Century Schoolbook" w:eastAsia="Century Schoolbook" w:hAnsi="Century Schoolbook" w:cs="Century Schoolbook"/>
          <w:sz w:val="20"/>
          <w:szCs w:val="20"/>
        </w:rPr>
        <w:t>, 384</w:t>
      </w:r>
      <w:r w:rsidRPr="009F549F">
        <w:rPr>
          <w:rFonts w:eastAsia="Century Schoolbook"/>
        </w:rPr>
        <w:t xml:space="preserve"> (2020); Marius </w:t>
      </w:r>
      <w:proofErr w:type="spellStart"/>
      <w:r w:rsidRPr="009F549F">
        <w:rPr>
          <w:rFonts w:eastAsia="Century Schoolbook"/>
        </w:rPr>
        <w:t>Brulhart</w:t>
      </w:r>
      <w:proofErr w:type="spellEnd"/>
      <w:r w:rsidRPr="00036097">
        <w:rPr>
          <w:rFonts w:eastAsia="Century Schoolbook"/>
        </w:rPr>
        <w:t xml:space="preserve">, Jonathan Gruber, Matthias </w:t>
      </w:r>
      <w:proofErr w:type="spellStart"/>
      <w:r w:rsidRPr="00036097">
        <w:rPr>
          <w:rFonts w:eastAsia="Century Schoolbook"/>
        </w:rPr>
        <w:t>Krapf</w:t>
      </w:r>
      <w:proofErr w:type="spellEnd"/>
      <w:r w:rsidRPr="00036097">
        <w:rPr>
          <w:rFonts w:eastAsia="Century Schoolbook"/>
        </w:rPr>
        <w:t xml:space="preserve"> &amp; Kurt </w:t>
      </w:r>
      <w:proofErr w:type="spellStart"/>
      <w:r w:rsidRPr="00036097">
        <w:rPr>
          <w:rFonts w:eastAsia="Century Schoolbook"/>
        </w:rPr>
        <w:t>Schmidheiny</w:t>
      </w:r>
      <w:proofErr w:type="spellEnd"/>
      <w:r w:rsidRPr="00036097">
        <w:rPr>
          <w:rFonts w:eastAsia="Century Schoolbook"/>
        </w:rPr>
        <w:t>,</w:t>
      </w:r>
      <w:r w:rsidRPr="009F549F">
        <w:rPr>
          <w:rFonts w:eastAsia="Century Schoolbook"/>
        </w:rPr>
        <w:t xml:space="preserve"> </w:t>
      </w:r>
      <w:r w:rsidRPr="009F549F">
        <w:rPr>
          <w:rFonts w:eastAsia="Century Schoolbook"/>
          <w:i/>
        </w:rPr>
        <w:t>Behavioral Responses to Wealth Taxes: Evidence from Switzerland</w:t>
      </w:r>
      <w:r w:rsidRPr="009F549F">
        <w:rPr>
          <w:rFonts w:eastAsia="Century Schoolbook"/>
        </w:rPr>
        <w:t xml:space="preserve">, </w:t>
      </w:r>
      <w:r w:rsidRPr="009F549F">
        <w:rPr>
          <w:rFonts w:eastAsia="Century Schoolbook"/>
          <w:smallCaps/>
        </w:rPr>
        <w:t xml:space="preserve">Am. Econ. J.: </w:t>
      </w:r>
      <w:proofErr w:type="spellStart"/>
      <w:r w:rsidRPr="00036097">
        <w:rPr>
          <w:rFonts w:eastAsia="Century Schoolbook"/>
          <w:smallCaps/>
        </w:rPr>
        <w:t>Pol’y</w:t>
      </w:r>
      <w:proofErr w:type="spellEnd"/>
      <w:r w:rsidRPr="009F549F">
        <w:rPr>
          <w:rFonts w:eastAsia="Century Schoolbook"/>
        </w:rPr>
        <w:t xml:space="preserve"> (forthcoming 2022). </w:t>
      </w:r>
    </w:p>
    <w:p w14:paraId="162BBCB2" w14:textId="664102AF" w:rsidR="006E30B5" w:rsidRPr="009F549F" w:rsidRDefault="006E30B5">
      <w:pPr>
        <w:rPr>
          <w:rFonts w:eastAsia="Century Schoolbook"/>
        </w:rPr>
      </w:pPr>
      <w:r w:rsidRPr="009F549F">
        <w:rPr>
          <w:rFonts w:eastAsia="Century Schoolbook"/>
        </w:rPr>
        <w:tab/>
        <w:t xml:space="preserve">The Irish wealth tax, implemented for a few years in the 1970s, might be an exception. The tax had a narrow base and required appraisals for essentially all assets, so administrative costs were extremely high relative to the revenue it brought in, undermining its political support. </w:t>
      </w:r>
      <w:r w:rsidRPr="009F549F">
        <w:rPr>
          <w:rFonts w:eastAsia="Century Schoolbook"/>
          <w:smallCaps/>
        </w:rPr>
        <w:t>Cedric Sandford &amp; Oliver</w:t>
      </w:r>
      <w:r w:rsidRPr="00036097">
        <w:rPr>
          <w:rFonts w:eastAsia="Century Schoolbook"/>
          <w:smallCaps/>
        </w:rPr>
        <w:t xml:space="preserve"> </w:t>
      </w:r>
      <w:r w:rsidRPr="009F549F">
        <w:rPr>
          <w:rFonts w:eastAsia="Century Schoolbook"/>
          <w:smallCaps/>
        </w:rPr>
        <w:t xml:space="preserve"> Morrissey, The Irish Wealth Tax: A Case Study in Economics and Politics </w:t>
      </w:r>
      <w:r w:rsidRPr="009F549F">
        <w:rPr>
          <w:rFonts w:eastAsia="Century Schoolbook"/>
        </w:rPr>
        <w:t>145–46 (</w:t>
      </w:r>
      <w:r w:rsidRPr="00036097">
        <w:rPr>
          <w:rFonts w:eastAsia="Century Schoolbook"/>
        </w:rPr>
        <w:t xml:space="preserve">The Econ. &amp; Soc. </w:t>
      </w:r>
      <w:proofErr w:type="spellStart"/>
      <w:r w:rsidRPr="00036097">
        <w:rPr>
          <w:rFonts w:eastAsia="Century Schoolbook"/>
        </w:rPr>
        <w:t>Rsch</w:t>
      </w:r>
      <w:proofErr w:type="spellEnd"/>
      <w:r w:rsidRPr="00036097">
        <w:rPr>
          <w:rFonts w:eastAsia="Century Schoolbook"/>
        </w:rPr>
        <w:t xml:space="preserve">. Inst. </w:t>
      </w:r>
      <w:r w:rsidRPr="009F549F">
        <w:rPr>
          <w:rFonts w:eastAsia="Century Schoolbook"/>
        </w:rPr>
        <w:t>1985).</w:t>
      </w:r>
    </w:p>
  </w:footnote>
  <w:footnote w:id="107">
    <w:p w14:paraId="26F2C3F8" w14:textId="564C8301" w:rsidR="006E30B5" w:rsidRPr="009F549F" w:rsidRDefault="006E30B5">
      <w:pPr>
        <w:rPr>
          <w:rFonts w:eastAsia="Century Schoolbook"/>
        </w:rPr>
      </w:pPr>
      <w:r w:rsidRPr="009F549F">
        <w:rPr>
          <w:vertAlign w:val="superscript"/>
        </w:rPr>
        <w:footnoteRef/>
      </w:r>
      <w:r w:rsidRPr="009F549F">
        <w:rPr>
          <w:rFonts w:eastAsia="Century Schoolbook"/>
        </w:rPr>
        <w:t xml:space="preserve"> OEC</w:t>
      </w:r>
      <w:bookmarkStart w:id="74" w:name="_GoBack"/>
      <w:bookmarkEnd w:id="74"/>
      <w:r w:rsidRPr="009F549F">
        <w:rPr>
          <w:rFonts w:eastAsia="Century Schoolbook"/>
        </w:rPr>
        <w:t xml:space="preserve">D, </w:t>
      </w:r>
      <w:r w:rsidRPr="009F549F">
        <w:rPr>
          <w:rFonts w:eastAsia="Century Schoolbook"/>
          <w:i/>
        </w:rPr>
        <w:t xml:space="preserve">supra </w:t>
      </w:r>
      <w:r w:rsidRPr="009F549F">
        <w:rPr>
          <w:rFonts w:eastAsia="Century Schoolbook"/>
        </w:rPr>
        <w:t xml:space="preserve">note </w:t>
      </w:r>
      <w:r w:rsidRPr="00036097">
        <w:rPr>
          <w:rFonts w:eastAsia="Century Schoolbook"/>
        </w:rPr>
        <w:fldChar w:fldCharType="begin"/>
      </w:r>
      <w:r w:rsidRPr="00036097">
        <w:rPr>
          <w:rFonts w:eastAsia="Century Schoolbook"/>
        </w:rPr>
        <w:instrText xml:space="preserve"> NOTEREF _Ref115603676 \h  \* MERGEFORMAT </w:instrText>
      </w:r>
      <w:r w:rsidRPr="00036097">
        <w:rPr>
          <w:rFonts w:eastAsia="Century Schoolbook"/>
        </w:rPr>
      </w:r>
      <w:r w:rsidRPr="00036097">
        <w:rPr>
          <w:rFonts w:eastAsia="Century Schoolbook"/>
        </w:rPr>
        <w:fldChar w:fldCharType="separate"/>
      </w:r>
      <w:r>
        <w:rPr>
          <w:rFonts w:eastAsia="Century Schoolbook"/>
        </w:rPr>
        <w:t>23</w:t>
      </w:r>
      <w:r w:rsidRPr="00036097">
        <w:rPr>
          <w:rFonts w:eastAsia="Century Schoolbook"/>
        </w:rPr>
        <w:fldChar w:fldCharType="end"/>
      </w:r>
      <w:r w:rsidRPr="00036097">
        <w:rPr>
          <w:rFonts w:eastAsia="Century Schoolbook"/>
        </w:rPr>
        <w:t>,</w:t>
      </w:r>
      <w:r w:rsidRPr="009F549F">
        <w:rPr>
          <w:rFonts w:eastAsia="Century Schoolbook"/>
        </w:rPr>
        <w:t xml:space="preserve"> at 67, 92; </w:t>
      </w:r>
      <w:r w:rsidRPr="009F549F">
        <w:rPr>
          <w:rFonts w:eastAsia="Century Schoolbook"/>
          <w:i/>
        </w:rPr>
        <w:t>see also</w:t>
      </w:r>
      <w:r w:rsidRPr="009F549F">
        <w:rPr>
          <w:rFonts w:eastAsia="Century Schoolbook"/>
        </w:rPr>
        <w:t xml:space="preserve"> </w:t>
      </w:r>
      <w:r w:rsidRPr="007D6E99">
        <w:rPr>
          <w:rFonts w:ascii="Century Schoolbook" w:eastAsia="Century Schoolbook" w:hAnsi="Century Schoolbook" w:cs="Century Schoolbook"/>
          <w:sz w:val="20"/>
          <w:szCs w:val="20"/>
        </w:rPr>
        <w:t xml:space="preserve">Marie </w:t>
      </w:r>
      <w:proofErr w:type="spellStart"/>
      <w:r w:rsidRPr="009F549F">
        <w:rPr>
          <w:rFonts w:eastAsia="Century Schoolbook"/>
          <w:smallCaps/>
        </w:rPr>
        <w:t>Bjorneby</w:t>
      </w:r>
      <w:proofErr w:type="spellEnd"/>
      <w:r w:rsidRPr="009F549F">
        <w:rPr>
          <w:rFonts w:eastAsia="Century Schoolbook"/>
          <w:smallCaps/>
        </w:rPr>
        <w:t xml:space="preserve">, </w:t>
      </w:r>
      <w:proofErr w:type="spellStart"/>
      <w:r w:rsidRPr="007D6E99">
        <w:rPr>
          <w:rFonts w:ascii="Century Schoolbook" w:eastAsia="Century Schoolbook" w:hAnsi="Century Schoolbook" w:cs="Century Schoolbook"/>
          <w:sz w:val="20"/>
          <w:szCs w:val="20"/>
        </w:rPr>
        <w:t>Simen</w:t>
      </w:r>
      <w:proofErr w:type="spellEnd"/>
      <w:r w:rsidRPr="007D6E99">
        <w:rPr>
          <w:rFonts w:ascii="Century Schoolbook" w:eastAsia="Century Schoolbook" w:hAnsi="Century Schoolbook" w:cs="Century Schoolbook"/>
          <w:sz w:val="20"/>
          <w:szCs w:val="20"/>
        </w:rPr>
        <w:t xml:space="preserve"> </w:t>
      </w:r>
      <w:proofErr w:type="spellStart"/>
      <w:r w:rsidRPr="009F549F">
        <w:rPr>
          <w:rFonts w:eastAsia="Century Schoolbook"/>
          <w:smallCaps/>
        </w:rPr>
        <w:t>Markussen</w:t>
      </w:r>
      <w:proofErr w:type="spellEnd"/>
      <w:r w:rsidRPr="00FA207E">
        <w:rPr>
          <w:rFonts w:eastAsia="Century Schoolbook"/>
          <w:smallCaps/>
        </w:rPr>
        <w:t xml:space="preserve"> &amp;</w:t>
      </w:r>
      <w:r w:rsidRPr="009F549F">
        <w:rPr>
          <w:rFonts w:eastAsia="Century Schoolbook"/>
          <w:smallCaps/>
        </w:rPr>
        <w:t xml:space="preserve"> </w:t>
      </w:r>
      <w:proofErr w:type="spellStart"/>
      <w:r w:rsidRPr="009F549F">
        <w:rPr>
          <w:rFonts w:eastAsia="Century Schoolbook"/>
          <w:smallCaps/>
        </w:rPr>
        <w:t>Roed</w:t>
      </w:r>
      <w:proofErr w:type="spellEnd"/>
      <w:r w:rsidRPr="009F549F">
        <w:rPr>
          <w:rFonts w:eastAsia="Century Schoolbook"/>
        </w:rPr>
        <w:t xml:space="preserve">, </w:t>
      </w:r>
      <w:r w:rsidRPr="00036097">
        <w:rPr>
          <w:rFonts w:eastAsia="Century Schoolbook"/>
          <w:i/>
        </w:rPr>
        <w:t xml:space="preserve">supra </w:t>
      </w:r>
      <w:r w:rsidRPr="00036097">
        <w:rPr>
          <w:rFonts w:eastAsia="Century Schoolbook"/>
          <w:iCs/>
        </w:rPr>
        <w:t xml:space="preserve">note </w:t>
      </w:r>
      <w:r w:rsidRPr="00036097">
        <w:rPr>
          <w:rFonts w:eastAsia="Century Schoolbook"/>
          <w:iCs/>
        </w:rPr>
        <w:fldChar w:fldCharType="begin"/>
      </w:r>
      <w:r w:rsidRPr="00036097">
        <w:rPr>
          <w:rFonts w:eastAsia="Century Schoolbook"/>
          <w:iCs/>
        </w:rPr>
        <w:instrText xml:space="preserve"> NOTEREF _Ref115791304 \h  \* MERGEFORMAT </w:instrText>
      </w:r>
      <w:r w:rsidRPr="00036097">
        <w:rPr>
          <w:rFonts w:eastAsia="Century Schoolbook"/>
          <w:iCs/>
        </w:rPr>
      </w:r>
      <w:r w:rsidRPr="00036097">
        <w:rPr>
          <w:rFonts w:eastAsia="Century Schoolbook"/>
          <w:iCs/>
        </w:rPr>
        <w:fldChar w:fldCharType="separate"/>
      </w:r>
      <w:r>
        <w:rPr>
          <w:rFonts w:eastAsia="Century Schoolbook"/>
          <w:iCs/>
        </w:rPr>
        <w:t>99</w:t>
      </w:r>
      <w:r w:rsidRPr="00036097">
        <w:rPr>
          <w:rFonts w:eastAsia="Century Schoolbook"/>
          <w:iCs/>
        </w:rPr>
        <w:fldChar w:fldCharType="end"/>
      </w:r>
      <w:r w:rsidRPr="00036097">
        <w:rPr>
          <w:rFonts w:eastAsia="Century Schoolbook"/>
        </w:rPr>
        <w:t>,</w:t>
      </w:r>
      <w:r w:rsidRPr="009F549F">
        <w:rPr>
          <w:rFonts w:eastAsia="Century Schoolbook"/>
        </w:rPr>
        <w:t xml:space="preserve"> at 6</w:t>
      </w:r>
      <w:r w:rsidRPr="00036097">
        <w:rPr>
          <w:rFonts w:eastAsia="Century Schoolbook"/>
        </w:rPr>
        <w:t>, 20</w:t>
      </w:r>
      <w:r w:rsidRPr="009F549F">
        <w:rPr>
          <w:rFonts w:eastAsia="Century Schoolbook"/>
        </w:rPr>
        <w:t xml:space="preserve"> (noting that under the Norwegian wealth tax foreign assets are self-reported). </w:t>
      </w:r>
    </w:p>
  </w:footnote>
  <w:footnote w:id="108">
    <w:p w14:paraId="4A54C9A0" w14:textId="5A270596" w:rsidR="006E30B5" w:rsidRPr="009F549F" w:rsidRDefault="006E30B5">
      <w:pPr>
        <w:rPr>
          <w:rFonts w:eastAsia="Century Schoolbook"/>
          <w:b/>
        </w:rPr>
      </w:pPr>
      <w:r w:rsidRPr="009F549F">
        <w:rPr>
          <w:vertAlign w:val="superscript"/>
        </w:rPr>
        <w:footnoteRef/>
      </w:r>
      <w:r w:rsidRPr="009F549F">
        <w:rPr>
          <w:rFonts w:eastAsia="Century Schoolbook"/>
        </w:rPr>
        <w:t xml:space="preserve"> </w:t>
      </w:r>
      <w:r w:rsidRPr="009F549F">
        <w:rPr>
          <w:rFonts w:eastAsia="Century Schoolbook"/>
          <w:i/>
        </w:rPr>
        <w:t>See</w:t>
      </w:r>
      <w:r>
        <w:rPr>
          <w:rFonts w:eastAsia="Century Schoolbook"/>
        </w:rPr>
        <w:t xml:space="preserve"> </w:t>
      </w:r>
      <w:r w:rsidRPr="009F549F">
        <w:rPr>
          <w:rFonts w:eastAsia="Century Schoolbook"/>
          <w:smallCaps/>
        </w:rPr>
        <w:t>Sandford &amp; Morrissey</w:t>
      </w:r>
      <w:r w:rsidRPr="009F549F">
        <w:rPr>
          <w:rFonts w:eastAsia="Century Schoolbook"/>
        </w:rPr>
        <w:t xml:space="preserve">, </w:t>
      </w:r>
      <w:r w:rsidRPr="009F549F">
        <w:rPr>
          <w:rFonts w:eastAsia="Century Schoolbook"/>
          <w:i/>
        </w:rPr>
        <w:t>supra</w:t>
      </w:r>
      <w:r w:rsidRPr="009F549F">
        <w:rPr>
          <w:rFonts w:eastAsia="Century Schoolbook"/>
        </w:rPr>
        <w:t xml:space="preserve"> note </w:t>
      </w:r>
      <w:r w:rsidRPr="00036097">
        <w:rPr>
          <w:rFonts w:eastAsia="Century Schoolbook"/>
        </w:rPr>
        <w:fldChar w:fldCharType="begin"/>
      </w:r>
      <w:r w:rsidRPr="00036097">
        <w:rPr>
          <w:rFonts w:eastAsia="Century Schoolbook"/>
        </w:rPr>
        <w:instrText xml:space="preserve"> NOTEREF _Ref115790989 \h  \* MERGEFORMAT </w:instrText>
      </w:r>
      <w:r w:rsidRPr="00036097">
        <w:rPr>
          <w:rFonts w:eastAsia="Century Schoolbook"/>
        </w:rPr>
      </w:r>
      <w:r w:rsidRPr="00036097">
        <w:rPr>
          <w:rFonts w:eastAsia="Century Schoolbook"/>
        </w:rPr>
        <w:fldChar w:fldCharType="separate"/>
      </w:r>
      <w:r>
        <w:rPr>
          <w:rFonts w:eastAsia="Century Schoolbook"/>
        </w:rPr>
        <w:t>106</w:t>
      </w:r>
      <w:r w:rsidRPr="00036097">
        <w:rPr>
          <w:rFonts w:eastAsia="Century Schoolbook"/>
        </w:rPr>
        <w:fldChar w:fldCharType="end"/>
      </w:r>
      <w:r w:rsidRPr="00036097">
        <w:rPr>
          <w:rFonts w:eastAsia="Century Schoolbook"/>
        </w:rPr>
        <w:t>,</w:t>
      </w:r>
      <w:r w:rsidRPr="009F549F">
        <w:rPr>
          <w:rFonts w:eastAsia="Century Schoolbook"/>
        </w:rPr>
        <w:t xml:space="preserve"> at 144</w:t>
      </w:r>
      <w:r>
        <w:rPr>
          <w:rFonts w:eastAsia="Century Schoolbook"/>
        </w:rPr>
        <w:t xml:space="preserve"> (noting that wealth tax enforcement also identified sources of hidden income in offshore trusts)</w:t>
      </w:r>
      <w:r w:rsidRPr="009F549F">
        <w:rPr>
          <w:rFonts w:eastAsia="Century Schoolbook"/>
        </w:rPr>
        <w:t xml:space="preserve">. </w:t>
      </w:r>
    </w:p>
  </w:footnote>
  <w:footnote w:id="109">
    <w:p w14:paraId="31C7D25F" w14:textId="080E5BCE" w:rsidR="006E30B5" w:rsidRPr="009F549F" w:rsidRDefault="006E30B5">
      <w:pPr>
        <w:rPr>
          <w:rFonts w:eastAsia="Century Schoolbook"/>
        </w:rPr>
      </w:pPr>
      <w:r w:rsidRPr="009F549F">
        <w:rPr>
          <w:vertAlign w:val="superscript"/>
        </w:rPr>
        <w:footnoteRef/>
      </w:r>
      <w:r w:rsidRPr="009F549F">
        <w:rPr>
          <w:rFonts w:eastAsia="Century Schoolbook"/>
        </w:rPr>
        <w:t xml:space="preserve"> OECD, </w:t>
      </w:r>
      <w:r w:rsidRPr="009F549F">
        <w:rPr>
          <w:rFonts w:eastAsia="Century Schoolbook"/>
          <w:i/>
        </w:rPr>
        <w:t xml:space="preserve">supra </w:t>
      </w:r>
      <w:r w:rsidRPr="009F549F">
        <w:rPr>
          <w:rFonts w:eastAsia="Century Schoolbook"/>
        </w:rPr>
        <w:t xml:space="preserve">note </w:t>
      </w:r>
      <w:r w:rsidRPr="00036097">
        <w:rPr>
          <w:rFonts w:eastAsia="Century Schoolbook"/>
        </w:rPr>
        <w:fldChar w:fldCharType="begin"/>
      </w:r>
      <w:r w:rsidRPr="00036097">
        <w:rPr>
          <w:rFonts w:eastAsia="Century Schoolbook"/>
        </w:rPr>
        <w:instrText xml:space="preserve"> NOTEREF _Ref115157070 \h  \* MERGEFORMAT </w:instrText>
      </w:r>
      <w:r w:rsidRPr="00036097">
        <w:rPr>
          <w:rFonts w:eastAsia="Century Schoolbook"/>
        </w:rPr>
      </w:r>
      <w:r w:rsidRPr="00036097">
        <w:rPr>
          <w:rFonts w:eastAsia="Century Schoolbook"/>
        </w:rPr>
        <w:fldChar w:fldCharType="separate"/>
      </w:r>
      <w:r>
        <w:rPr>
          <w:rFonts w:eastAsia="Century Schoolbook"/>
        </w:rPr>
        <w:t>76</w:t>
      </w:r>
      <w:r w:rsidRPr="00036097">
        <w:rPr>
          <w:rFonts w:eastAsia="Century Schoolbook"/>
        </w:rPr>
        <w:fldChar w:fldCharType="end"/>
      </w:r>
      <w:r w:rsidRPr="00036097">
        <w:rPr>
          <w:rFonts w:eastAsia="Century Schoolbook"/>
        </w:rPr>
        <w:t>,</w:t>
      </w:r>
      <w:r w:rsidRPr="009F549F">
        <w:rPr>
          <w:rFonts w:eastAsia="Century Schoolbook"/>
        </w:rPr>
        <w:t xml:space="preserve"> at 17.</w:t>
      </w:r>
    </w:p>
  </w:footnote>
  <w:footnote w:id="110">
    <w:p w14:paraId="59DE58C8" w14:textId="703E61CA" w:rsidR="006E30B5" w:rsidRPr="009F549F" w:rsidRDefault="006E30B5">
      <w:pPr>
        <w:rPr>
          <w:rFonts w:eastAsia="Century Schoolbook"/>
        </w:rPr>
      </w:pPr>
      <w:r w:rsidRPr="009F549F">
        <w:rPr>
          <w:vertAlign w:val="superscript"/>
        </w:rPr>
        <w:footnoteRef/>
      </w:r>
      <w:r w:rsidRPr="00036097">
        <w:rPr>
          <w:rFonts w:eastAsia="Century Schoolbook"/>
        </w:rPr>
        <w:t xml:space="preserve"> </w:t>
      </w:r>
      <w:r w:rsidRPr="00036097">
        <w:rPr>
          <w:rFonts w:eastAsia="Century Schoolbook"/>
          <w:i/>
          <w:iCs/>
        </w:rPr>
        <w:t>See</w:t>
      </w:r>
      <w:r w:rsidRPr="009F549F">
        <w:rPr>
          <w:rFonts w:eastAsia="Century Schoolbook"/>
          <w:i/>
        </w:rPr>
        <w:t xml:space="preserve"> </w:t>
      </w:r>
      <w:r w:rsidRPr="009F549F">
        <w:rPr>
          <w:rFonts w:eastAsia="Century Schoolbook"/>
        </w:rPr>
        <w:t xml:space="preserve">Elkins, </w:t>
      </w:r>
      <w:r w:rsidRPr="009F549F">
        <w:rPr>
          <w:rFonts w:eastAsia="Century Schoolbook"/>
          <w:i/>
        </w:rPr>
        <w:t>supra</w:t>
      </w:r>
      <w:r w:rsidRPr="009F549F">
        <w:rPr>
          <w:rFonts w:eastAsia="Century Schoolbook"/>
        </w:rPr>
        <w:t xml:space="preserve"> note </w:t>
      </w:r>
      <w:r w:rsidRPr="00036097">
        <w:rPr>
          <w:rFonts w:eastAsia="Century Schoolbook"/>
        </w:rPr>
        <w:fldChar w:fldCharType="begin"/>
      </w:r>
      <w:r w:rsidRPr="00036097">
        <w:rPr>
          <w:rFonts w:eastAsia="Century Schoolbook"/>
        </w:rPr>
        <w:instrText xml:space="preserve"> NOTEREF _Ref115157403 \h  \* MERGEFORMAT </w:instrText>
      </w:r>
      <w:r w:rsidRPr="00036097">
        <w:rPr>
          <w:rFonts w:eastAsia="Century Schoolbook"/>
        </w:rPr>
      </w:r>
      <w:r w:rsidRPr="00036097">
        <w:rPr>
          <w:rFonts w:eastAsia="Century Schoolbook"/>
        </w:rPr>
        <w:fldChar w:fldCharType="separate"/>
      </w:r>
      <w:r>
        <w:rPr>
          <w:rFonts w:eastAsia="Century Schoolbook"/>
        </w:rPr>
        <w:t>43</w:t>
      </w:r>
      <w:r w:rsidRPr="00036097">
        <w:rPr>
          <w:rFonts w:eastAsia="Century Schoolbook"/>
        </w:rPr>
        <w:fldChar w:fldCharType="end"/>
      </w:r>
      <w:r w:rsidRPr="00036097">
        <w:rPr>
          <w:rFonts w:eastAsia="Century Schoolbook"/>
        </w:rPr>
        <w:t>,</w:t>
      </w:r>
      <w:r w:rsidRPr="009F549F">
        <w:rPr>
          <w:rFonts w:eastAsia="Century Schoolbook"/>
        </w:rPr>
        <w:t xml:space="preserve"> at 403</w:t>
      </w:r>
      <w:r w:rsidRPr="00036097">
        <w:rPr>
          <w:rFonts w:eastAsia="Century Schoolbook"/>
        </w:rPr>
        <w:t xml:space="preserve"> (noting the efficiency of drawing the line to “minimize the substitution effect”)</w:t>
      </w:r>
      <w:r>
        <w:rPr>
          <w:rFonts w:eastAsia="Century Schoolbook"/>
        </w:rPr>
        <w:t>;</w:t>
      </w:r>
      <w:r w:rsidRPr="009F549F">
        <w:rPr>
          <w:rFonts w:eastAsia="Century Schoolbook"/>
        </w:rPr>
        <w:t xml:space="preserve"> David </w:t>
      </w:r>
      <w:r w:rsidRPr="00036097">
        <w:rPr>
          <w:rFonts w:eastAsia="Century Schoolbook"/>
        </w:rPr>
        <w:t xml:space="preserve">A. </w:t>
      </w:r>
      <w:proofErr w:type="spellStart"/>
      <w:r w:rsidRPr="009F549F">
        <w:rPr>
          <w:rFonts w:eastAsia="Century Schoolbook"/>
        </w:rPr>
        <w:t>Weisbach</w:t>
      </w:r>
      <w:proofErr w:type="spellEnd"/>
      <w:r w:rsidRPr="009F549F">
        <w:rPr>
          <w:rFonts w:eastAsia="Century Schoolbook"/>
        </w:rPr>
        <w:t xml:space="preserve">, </w:t>
      </w:r>
      <w:r w:rsidRPr="009F549F">
        <w:rPr>
          <w:rFonts w:eastAsia="Century Schoolbook"/>
          <w:i/>
        </w:rPr>
        <w:t xml:space="preserve">Line Drawing, Doctrine, and Efficiency in </w:t>
      </w:r>
      <w:r w:rsidRPr="00036097">
        <w:rPr>
          <w:rFonts w:eastAsia="Century Schoolbook"/>
          <w:i/>
        </w:rPr>
        <w:t xml:space="preserve">the </w:t>
      </w:r>
      <w:r w:rsidRPr="009F549F">
        <w:rPr>
          <w:rFonts w:eastAsia="Century Schoolbook"/>
          <w:i/>
        </w:rPr>
        <w:t>Tax Law</w:t>
      </w:r>
      <w:r w:rsidRPr="009F549F">
        <w:rPr>
          <w:rFonts w:eastAsia="Century Schoolbook"/>
        </w:rPr>
        <w:t xml:space="preserve">, 84 </w:t>
      </w:r>
      <w:r w:rsidRPr="009F549F">
        <w:rPr>
          <w:rFonts w:eastAsia="Century Schoolbook"/>
          <w:smallCaps/>
        </w:rPr>
        <w:t xml:space="preserve">Cornell L. Rev. </w:t>
      </w:r>
      <w:r w:rsidRPr="009F549F">
        <w:rPr>
          <w:rFonts w:eastAsia="Century Schoolbook"/>
        </w:rPr>
        <w:t>1627, 1661–63 (1999).</w:t>
      </w:r>
    </w:p>
  </w:footnote>
  <w:footnote w:id="111">
    <w:p w14:paraId="4200DB6E" w14:textId="740C8219" w:rsidR="006E30B5" w:rsidRPr="009F549F" w:rsidRDefault="006E30B5">
      <w:pPr>
        <w:rPr>
          <w:rFonts w:eastAsia="Century Schoolbook"/>
        </w:rPr>
      </w:pPr>
      <w:r w:rsidRPr="009F549F">
        <w:rPr>
          <w:vertAlign w:val="superscript"/>
        </w:rPr>
        <w:footnoteRef/>
      </w:r>
      <w:r w:rsidRPr="009F549F">
        <w:rPr>
          <w:rFonts w:eastAsia="Century Schoolbook"/>
        </w:rPr>
        <w:t xml:space="preserve"> OECD, </w:t>
      </w:r>
      <w:r w:rsidRPr="007D6E99">
        <w:rPr>
          <w:rFonts w:ascii="Century Schoolbook" w:eastAsia="Century Schoolbook" w:hAnsi="Century Schoolbook" w:cs="Century Schoolbook"/>
          <w:sz w:val="20"/>
          <w:szCs w:val="20"/>
        </w:rPr>
        <w:t xml:space="preserve">Revenue Statistics 2021, </w:t>
      </w:r>
      <w:r w:rsidRPr="009F549F">
        <w:rPr>
          <w:rFonts w:eastAsia="Century Schoolbook"/>
          <w:i/>
        </w:rPr>
        <w:t xml:space="preserve">Tax Revenue </w:t>
      </w:r>
      <w:r w:rsidRPr="00EF40B0">
        <w:rPr>
          <w:rFonts w:eastAsia="Century Schoolbook"/>
          <w:i/>
          <w:iCs/>
        </w:rPr>
        <w:t>and</w:t>
      </w:r>
      <w:r w:rsidRPr="009F549F">
        <w:rPr>
          <w:rFonts w:eastAsia="Century Schoolbook"/>
          <w:i/>
        </w:rPr>
        <w:t xml:space="preserve"> Percentage of GDP </w:t>
      </w:r>
      <w:r w:rsidRPr="00EF40B0">
        <w:rPr>
          <w:rFonts w:eastAsia="Century Schoolbook"/>
          <w:i/>
          <w:iCs/>
        </w:rPr>
        <w:t>by Selected Tax Category and by Level of Government</w:t>
      </w:r>
      <w:r w:rsidRPr="00036097">
        <w:rPr>
          <w:rFonts w:eastAsia="Century Schoolbook"/>
        </w:rPr>
        <w:t xml:space="preserve">, </w:t>
      </w:r>
      <w:r w:rsidRPr="00EF40B0">
        <w:rPr>
          <w:rFonts w:eastAsia="Century Schoolbook"/>
          <w:smallCaps/>
        </w:rPr>
        <w:t>Revenue Statistics 2021: The Initial Impact of COVID-19 on OECD Tax Revenues</w:t>
      </w:r>
      <w:r w:rsidRPr="00036097">
        <w:rPr>
          <w:rFonts w:eastAsia="Century Schoolbook"/>
        </w:rPr>
        <w:t xml:space="preserve">, tbl.4.69 </w:t>
      </w:r>
      <w:r w:rsidRPr="009F549F">
        <w:rPr>
          <w:rFonts w:eastAsia="Century Schoolbook"/>
        </w:rPr>
        <w:t>(2021), https://www.oecd.org/tax/</w:t>
      </w:r>
      <w:r>
        <w:rPr>
          <w:rFonts w:eastAsia="Century Schoolbook"/>
        </w:rPr>
        <w:br/>
      </w:r>
      <w:r w:rsidRPr="009F549F">
        <w:rPr>
          <w:rFonts w:eastAsia="Century Schoolbook"/>
        </w:rPr>
        <w:t>revenue-statistics-2522770x.htm</w:t>
      </w:r>
      <w:r w:rsidRPr="00036097">
        <w:rPr>
          <w:rFonts w:eastAsia="Century Schoolbook"/>
        </w:rPr>
        <w:t xml:space="preserve"> [</w:t>
      </w:r>
      <w:r w:rsidRPr="00EF40B0">
        <w:rPr>
          <w:rFonts w:eastAsia="Century Schoolbook"/>
        </w:rPr>
        <w:t>https://perma.cc/JQ6J-CLT3]</w:t>
      </w:r>
      <w:r w:rsidRPr="00036097">
        <w:rPr>
          <w:rFonts w:eastAsia="Century Schoolbook"/>
        </w:rPr>
        <w:t>.</w:t>
      </w:r>
      <w:r w:rsidRPr="009F549F">
        <w:rPr>
          <w:rFonts w:eastAsia="Century Schoolbook"/>
        </w:rPr>
        <w:t xml:space="preserve"> </w:t>
      </w:r>
    </w:p>
  </w:footnote>
  <w:footnote w:id="112">
    <w:p w14:paraId="35EEDE95" w14:textId="338703DF" w:rsidR="006E30B5" w:rsidRPr="009F549F" w:rsidRDefault="006E30B5">
      <w:pPr>
        <w:rPr>
          <w:rFonts w:eastAsia="Century Schoolbook"/>
        </w:rPr>
      </w:pPr>
      <w:r w:rsidRPr="009F549F">
        <w:rPr>
          <w:vertAlign w:val="superscript"/>
        </w:rPr>
        <w:footnoteRef/>
      </w:r>
      <w:r w:rsidRPr="009F549F">
        <w:rPr>
          <w:rFonts w:eastAsia="Century Schoolbook"/>
        </w:rPr>
        <w:t xml:space="preserve"> Peter </w:t>
      </w:r>
      <w:proofErr w:type="spellStart"/>
      <w:r w:rsidRPr="009F549F">
        <w:rPr>
          <w:rFonts w:eastAsia="Century Schoolbook"/>
        </w:rPr>
        <w:t>Hongler</w:t>
      </w:r>
      <w:proofErr w:type="spellEnd"/>
      <w:r w:rsidRPr="009F549F">
        <w:rPr>
          <w:rFonts w:eastAsia="Century Schoolbook"/>
        </w:rPr>
        <w:t xml:space="preserve"> &amp; Fabian </w:t>
      </w:r>
      <w:proofErr w:type="spellStart"/>
      <w:r w:rsidRPr="009F549F">
        <w:rPr>
          <w:rFonts w:eastAsia="Century Schoolbook"/>
        </w:rPr>
        <w:t>Mauchle</w:t>
      </w:r>
      <w:proofErr w:type="spellEnd"/>
      <w:r w:rsidRPr="009F549F">
        <w:rPr>
          <w:rFonts w:eastAsia="Century Schoolbook"/>
        </w:rPr>
        <w:t xml:space="preserve">, </w:t>
      </w:r>
      <w:r w:rsidRPr="009F549F">
        <w:rPr>
          <w:rFonts w:eastAsia="Century Schoolbook"/>
          <w:i/>
        </w:rPr>
        <w:t>Is Switzerland a Role Model for Wealth Taxes?</w:t>
      </w:r>
      <w:r w:rsidRPr="009F549F">
        <w:rPr>
          <w:rFonts w:eastAsia="Century Schoolbook"/>
        </w:rPr>
        <w:t xml:space="preserve">, 97 </w:t>
      </w:r>
      <w:r w:rsidRPr="009F549F">
        <w:rPr>
          <w:rFonts w:eastAsia="Century Schoolbook"/>
          <w:smallCaps/>
        </w:rPr>
        <w:t>Tax Notes Int’l</w:t>
      </w:r>
      <w:r w:rsidRPr="009F549F">
        <w:rPr>
          <w:rFonts w:eastAsia="Century Schoolbook"/>
        </w:rPr>
        <w:t xml:space="preserve"> 645, </w:t>
      </w:r>
      <w:r w:rsidRPr="007D6E99">
        <w:rPr>
          <w:rFonts w:ascii="Century Schoolbook" w:eastAsia="Century Schoolbook" w:hAnsi="Century Schoolbook" w:cs="Century Schoolbook"/>
          <w:sz w:val="20"/>
          <w:szCs w:val="20"/>
        </w:rPr>
        <w:t xml:space="preserve"> </w:t>
      </w:r>
      <w:r w:rsidRPr="009F549F">
        <w:rPr>
          <w:rFonts w:eastAsia="Century Schoolbook"/>
        </w:rPr>
        <w:t>646–47, 649 (2020).</w:t>
      </w:r>
    </w:p>
  </w:footnote>
  <w:footnote w:id="113">
    <w:p w14:paraId="27DDC8E1" w14:textId="0A4BD25C" w:rsidR="006E30B5" w:rsidRPr="009F549F" w:rsidRDefault="006E30B5">
      <w:pPr>
        <w:rPr>
          <w:rFonts w:eastAsia="Century Schoolbook"/>
        </w:rPr>
      </w:pPr>
      <w:r w:rsidRPr="009F549F">
        <w:rPr>
          <w:vertAlign w:val="superscript"/>
        </w:rPr>
        <w:footnoteRef/>
      </w:r>
      <w:r w:rsidRPr="009F549F">
        <w:rPr>
          <w:rFonts w:eastAsia="Century Schoolbook"/>
        </w:rPr>
        <w:t xml:space="preserve"> </w:t>
      </w:r>
      <w:r w:rsidRPr="009F549F">
        <w:rPr>
          <w:rFonts w:eastAsia="Century Schoolbook"/>
          <w:i/>
        </w:rPr>
        <w:t>See, e.g</w:t>
      </w:r>
      <w:r w:rsidRPr="009F549F">
        <w:rPr>
          <w:rFonts w:eastAsia="Century Schoolbook"/>
        </w:rPr>
        <w:t xml:space="preserve">., </w:t>
      </w:r>
      <w:r w:rsidRPr="009F549F">
        <w:rPr>
          <w:rFonts w:eastAsia="Century Schoolbook"/>
          <w:smallCaps/>
        </w:rPr>
        <w:t>Jean-Blaise Eckert &amp; Lukas Aebi</w:t>
      </w:r>
      <w:r w:rsidRPr="009F549F">
        <w:rPr>
          <w:rFonts w:eastAsia="Century Schoolbook"/>
        </w:rPr>
        <w:t xml:space="preserve">, </w:t>
      </w:r>
      <w:r w:rsidRPr="009F549F">
        <w:rPr>
          <w:rFonts w:eastAsia="Century Schoolbook"/>
          <w:smallCaps/>
        </w:rPr>
        <w:t xml:space="preserve">Wealth </w:t>
      </w:r>
      <w:r>
        <w:rPr>
          <w:rFonts w:eastAsia="Century Schoolbook"/>
          <w:smallCaps/>
        </w:rPr>
        <w:t xml:space="preserve">Tax Comm’n Background Papers, No. 133, </w:t>
      </w:r>
      <w:r w:rsidRPr="00276A34">
        <w:rPr>
          <w:rFonts w:eastAsia="Century Schoolbook"/>
          <w:iCs/>
          <w:smallCaps/>
        </w:rPr>
        <w:t xml:space="preserve">Wealth </w:t>
      </w:r>
      <w:r w:rsidRPr="009F549F">
        <w:rPr>
          <w:rFonts w:eastAsia="Century Schoolbook"/>
          <w:smallCaps/>
        </w:rPr>
        <w:t>Taxation in Switzerland</w:t>
      </w:r>
      <w:r w:rsidRPr="007D6E99">
        <w:rPr>
          <w:rFonts w:ascii="Century Schoolbook" w:eastAsia="Century Schoolbook" w:hAnsi="Century Schoolbook" w:cs="Century Schoolbook"/>
          <w:sz w:val="20"/>
          <w:szCs w:val="20"/>
        </w:rPr>
        <w:t>, Wealth Tax Commission Working Paper No. 133, at</w:t>
      </w:r>
      <w:r w:rsidRPr="009F549F" w:rsidDel="00EB41B2">
        <w:rPr>
          <w:rFonts w:eastAsia="Century Schoolbook"/>
        </w:rPr>
        <w:t xml:space="preserve"> 3 (2020) </w:t>
      </w:r>
      <w:r w:rsidRPr="009F549F">
        <w:rPr>
          <w:rFonts w:eastAsia="Century Schoolbook"/>
        </w:rPr>
        <w:t>(“In general, the wealth taxation regime as such is respected in Switzerland and no major effort to abolish or fundamentally reform the Swiss wealth tax has been made in the last two decades.”)</w:t>
      </w:r>
      <w:r w:rsidRPr="009F549F">
        <w:rPr>
          <w:rFonts w:eastAsia="Century Schoolbook"/>
        </w:rPr>
        <w:t xml:space="preserve">; </w:t>
      </w:r>
      <w:r>
        <w:rPr>
          <w:rFonts w:eastAsia="Century Schoolbook"/>
          <w:i/>
          <w:iCs/>
        </w:rPr>
        <w:t xml:space="preserve">see also </w:t>
      </w:r>
      <w:r w:rsidRPr="009F549F">
        <w:rPr>
          <w:rFonts w:eastAsia="Century Schoolbook"/>
        </w:rPr>
        <w:t xml:space="preserve">OECD, </w:t>
      </w:r>
      <w:r w:rsidRPr="009F549F">
        <w:rPr>
          <w:rFonts w:eastAsia="Century Schoolbook"/>
          <w:i/>
        </w:rPr>
        <w:t xml:space="preserve">supra </w:t>
      </w:r>
      <w:r w:rsidRPr="009F549F">
        <w:rPr>
          <w:rFonts w:eastAsia="Century Schoolbook"/>
        </w:rPr>
        <w:t xml:space="preserve">note </w:t>
      </w:r>
      <w:r w:rsidRPr="00036097">
        <w:rPr>
          <w:rFonts w:eastAsia="Century Schoolbook"/>
        </w:rPr>
        <w:fldChar w:fldCharType="begin"/>
      </w:r>
      <w:r w:rsidRPr="00036097">
        <w:rPr>
          <w:rFonts w:eastAsia="Century Schoolbook"/>
        </w:rPr>
        <w:instrText xml:space="preserve"> NOTEREF _Ref115157070 \h  \* MERGEFORMAT </w:instrText>
      </w:r>
      <w:r w:rsidRPr="00036097">
        <w:rPr>
          <w:rFonts w:eastAsia="Century Schoolbook"/>
        </w:rPr>
      </w:r>
      <w:r w:rsidRPr="00036097">
        <w:rPr>
          <w:rFonts w:eastAsia="Century Schoolbook"/>
        </w:rPr>
        <w:fldChar w:fldCharType="separate"/>
      </w:r>
      <w:r>
        <w:rPr>
          <w:rFonts w:eastAsia="Century Schoolbook"/>
        </w:rPr>
        <w:t>76</w:t>
      </w:r>
      <w:r w:rsidRPr="00036097">
        <w:rPr>
          <w:rFonts w:eastAsia="Century Schoolbook"/>
        </w:rPr>
        <w:fldChar w:fldCharType="end"/>
      </w:r>
      <w:r w:rsidRPr="00036097">
        <w:rPr>
          <w:rFonts w:eastAsia="Century Schoolbook"/>
        </w:rPr>
        <w:t>,</w:t>
      </w:r>
      <w:r w:rsidRPr="009F549F">
        <w:rPr>
          <w:rFonts w:eastAsia="Century Schoolbook"/>
        </w:rPr>
        <w:t xml:space="preserve"> at 18 (suggesting that Switzerland’s “broad base</w:t>
      </w:r>
      <w:r w:rsidRPr="00036097">
        <w:rPr>
          <w:rFonts w:eastAsia="Century Schoolbook"/>
        </w:rPr>
        <w:t>”</w:t>
      </w:r>
      <w:r>
        <w:rPr>
          <w:rFonts w:eastAsia="Century Schoolbook"/>
        </w:rPr>
        <w:t xml:space="preserve">—that is, </w:t>
      </w:r>
      <w:r w:rsidRPr="009F549F">
        <w:rPr>
          <w:rFonts w:eastAsia="Century Schoolbook"/>
        </w:rPr>
        <w:t>its ability to tax small businesses</w:t>
      </w:r>
      <w:r>
        <w:rPr>
          <w:rFonts w:eastAsia="Century Schoolbook"/>
        </w:rPr>
        <w:t>—</w:t>
      </w:r>
      <w:r w:rsidRPr="009F549F">
        <w:rPr>
          <w:rFonts w:eastAsia="Century Schoolbook"/>
        </w:rPr>
        <w:t>explains its ability to raise much more revenue than other wealth taxes). We note that Norway’s wealth tax also uses what might be thought of as a form of formulaic valuation for privately held businesses (based on the value of the businesses’ assets), but we consider the use of formulaic valuations to be better developed and more comprehensive in the Swiss wealth tax</w:t>
      </w:r>
      <w:r w:rsidRPr="00036097">
        <w:rPr>
          <w:rFonts w:eastAsia="Century Schoolbook"/>
        </w:rPr>
        <w:t xml:space="preserve">. </w:t>
      </w:r>
      <w:r w:rsidRPr="00036097">
        <w:rPr>
          <w:rFonts w:eastAsia="Century Schoolbook"/>
          <w:i/>
        </w:rPr>
        <w:t>See</w:t>
      </w:r>
      <w:r w:rsidRPr="009F549F">
        <w:rPr>
          <w:rFonts w:eastAsia="Century Schoolbook"/>
        </w:rPr>
        <w:t xml:space="preserve"> </w:t>
      </w:r>
      <w:r w:rsidRPr="009F549F">
        <w:rPr>
          <w:rFonts w:eastAsia="Century Schoolbook"/>
          <w:smallCaps/>
        </w:rPr>
        <w:t xml:space="preserve">Bettina </w:t>
      </w:r>
      <w:proofErr w:type="spellStart"/>
      <w:r w:rsidRPr="009F549F">
        <w:rPr>
          <w:rFonts w:eastAsia="Century Schoolbook"/>
          <w:smallCaps/>
        </w:rPr>
        <w:t>Banoun</w:t>
      </w:r>
      <w:proofErr w:type="spellEnd"/>
      <w:r w:rsidRPr="009F549F">
        <w:rPr>
          <w:rFonts w:eastAsia="Century Schoolbook"/>
          <w:smallCaps/>
        </w:rPr>
        <w:t>, Wealth Tax</w:t>
      </w:r>
      <w:r>
        <w:rPr>
          <w:rFonts w:eastAsia="Century Schoolbook"/>
          <w:smallCaps/>
        </w:rPr>
        <w:t xml:space="preserve"> Comm’n</w:t>
      </w:r>
      <w:r w:rsidRPr="009F549F">
        <w:rPr>
          <w:rFonts w:eastAsia="Century Schoolbook"/>
          <w:smallCaps/>
        </w:rPr>
        <w:t xml:space="preserve"> Background </w:t>
      </w:r>
      <w:r>
        <w:rPr>
          <w:rFonts w:eastAsia="Century Schoolbook"/>
          <w:smallCaps/>
        </w:rPr>
        <w:t>Papers,</w:t>
      </w:r>
      <w:r w:rsidRPr="009F549F">
        <w:rPr>
          <w:rFonts w:eastAsia="Century Schoolbook"/>
          <w:smallCaps/>
        </w:rPr>
        <w:t xml:space="preserve"> No. 138, </w:t>
      </w:r>
      <w:r w:rsidRPr="00276A34">
        <w:rPr>
          <w:rFonts w:eastAsia="Century Schoolbook"/>
          <w:smallCaps/>
        </w:rPr>
        <w:t>Wealth Tax: Norway</w:t>
      </w:r>
      <w:r w:rsidRPr="009F549F">
        <w:rPr>
          <w:rFonts w:eastAsia="Century Schoolbook"/>
        </w:rPr>
        <w:t xml:space="preserve"> 9</w:t>
      </w:r>
      <w:r w:rsidRPr="00036097">
        <w:rPr>
          <w:rFonts w:eastAsia="Century Schoolbook"/>
        </w:rPr>
        <w:t>–</w:t>
      </w:r>
      <w:r w:rsidRPr="009F549F">
        <w:rPr>
          <w:rFonts w:eastAsia="Century Schoolbook"/>
        </w:rPr>
        <w:t>10 (2020)</w:t>
      </w:r>
      <w:r>
        <w:rPr>
          <w:rFonts w:ascii="Century Schoolbook" w:eastAsia="Century Schoolbook" w:hAnsi="Century Schoolbook" w:cs="Century Schoolbook"/>
          <w:sz w:val="20"/>
          <w:szCs w:val="20"/>
        </w:rPr>
        <w:t xml:space="preserve">. </w:t>
      </w:r>
    </w:p>
  </w:footnote>
  <w:footnote w:id="114">
    <w:p w14:paraId="027035E9" w14:textId="53C18BB2" w:rsidR="006E30B5" w:rsidRPr="009F549F" w:rsidRDefault="006E30B5">
      <w:pPr>
        <w:rPr>
          <w:rFonts w:eastAsia="Century Schoolbook"/>
        </w:rPr>
      </w:pPr>
      <w:r w:rsidRPr="009F549F">
        <w:rPr>
          <w:vertAlign w:val="superscript"/>
        </w:rPr>
        <w:footnoteRef/>
      </w:r>
      <w:r w:rsidRPr="009F549F">
        <w:rPr>
          <w:rFonts w:eastAsia="Century Schoolbook"/>
        </w:rPr>
        <w:t xml:space="preserve"> </w:t>
      </w:r>
      <w:proofErr w:type="spellStart"/>
      <w:r w:rsidRPr="009F549F">
        <w:rPr>
          <w:rFonts w:eastAsia="Century Schoolbook"/>
        </w:rPr>
        <w:t>Hongler</w:t>
      </w:r>
      <w:proofErr w:type="spellEnd"/>
      <w:r w:rsidRPr="009F549F">
        <w:rPr>
          <w:rFonts w:eastAsia="Century Schoolbook"/>
        </w:rPr>
        <w:t xml:space="preserve"> &amp; </w:t>
      </w:r>
      <w:proofErr w:type="spellStart"/>
      <w:r w:rsidRPr="009F549F">
        <w:rPr>
          <w:rFonts w:eastAsia="Century Schoolbook"/>
        </w:rPr>
        <w:t>Mauchle</w:t>
      </w:r>
      <w:proofErr w:type="spellEnd"/>
      <w:r w:rsidRPr="009F549F">
        <w:rPr>
          <w:rFonts w:eastAsia="Century Schoolbook"/>
        </w:rPr>
        <w:t xml:space="preserve">, </w:t>
      </w:r>
      <w:r w:rsidRPr="009F549F">
        <w:rPr>
          <w:rFonts w:eastAsia="Century Schoolbook"/>
          <w:i/>
        </w:rPr>
        <w:t>supra</w:t>
      </w:r>
      <w:r w:rsidRPr="009F549F">
        <w:rPr>
          <w:rFonts w:eastAsia="Century Schoolbook"/>
        </w:rPr>
        <w:t xml:space="preserve"> note </w:t>
      </w:r>
      <w:r w:rsidRPr="00036097">
        <w:rPr>
          <w:rFonts w:eastAsia="Century Schoolbook"/>
        </w:rPr>
        <w:fldChar w:fldCharType="begin"/>
      </w:r>
      <w:r w:rsidRPr="00036097">
        <w:rPr>
          <w:rFonts w:eastAsia="Century Schoolbook"/>
        </w:rPr>
        <w:instrText xml:space="preserve"> NOTEREF _Ref115167898 \h  \* MERGEFORMAT </w:instrText>
      </w:r>
      <w:r w:rsidRPr="00036097">
        <w:rPr>
          <w:rFonts w:eastAsia="Century Schoolbook"/>
        </w:rPr>
      </w:r>
      <w:r w:rsidRPr="00036097">
        <w:rPr>
          <w:rFonts w:eastAsia="Century Schoolbook"/>
        </w:rPr>
        <w:fldChar w:fldCharType="separate"/>
      </w:r>
      <w:r>
        <w:rPr>
          <w:rFonts w:eastAsia="Century Schoolbook"/>
        </w:rPr>
        <w:t>112</w:t>
      </w:r>
      <w:r w:rsidRPr="00036097">
        <w:rPr>
          <w:rFonts w:eastAsia="Century Schoolbook"/>
        </w:rPr>
        <w:fldChar w:fldCharType="end"/>
      </w:r>
      <w:r w:rsidRPr="00036097">
        <w:rPr>
          <w:rFonts w:eastAsia="Century Schoolbook"/>
        </w:rPr>
        <w:t>,</w:t>
      </w:r>
      <w:r w:rsidRPr="009F549F">
        <w:rPr>
          <w:rFonts w:eastAsia="Century Schoolbook"/>
        </w:rPr>
        <w:t xml:space="preserve"> at 648–49. In particular, the taxpayer calculates both a book value factor and an earnings factor, and the final valuation is the mean of the book value factors plus two times the earnings factor. The earnings factor, in turn, is the mean of recent years’ income (either two or three years, depending on the canton), weighted by one over the applicable interest rate. In 2019, for instance, there was a </w:t>
      </w:r>
      <w:r>
        <w:rPr>
          <w:rFonts w:eastAsia="Century Schoolbook"/>
        </w:rPr>
        <w:t>7</w:t>
      </w:r>
      <w:r w:rsidRPr="00036097">
        <w:rPr>
          <w:rFonts w:eastAsia="Century Schoolbook"/>
        </w:rPr>
        <w:t xml:space="preserve"> percent</w:t>
      </w:r>
      <w:r w:rsidRPr="009F549F">
        <w:rPr>
          <w:rFonts w:eastAsia="Century Schoolbook"/>
        </w:rPr>
        <w:t xml:space="preserve"> interest rate, so the earnings factor was 14.286 times mean recent earnings. </w:t>
      </w:r>
    </w:p>
    <w:p w14:paraId="25D0DAC7" w14:textId="33482847" w:rsidR="006E30B5" w:rsidRPr="009F549F" w:rsidRDefault="006E30B5">
      <w:pPr>
        <w:rPr>
          <w:rFonts w:eastAsia="Century Schoolbook"/>
        </w:rPr>
      </w:pPr>
      <w:r w:rsidRPr="009F549F">
        <w:rPr>
          <w:rFonts w:eastAsia="Century Schoolbook"/>
        </w:rPr>
        <w:tab/>
        <w:t xml:space="preserve">Spain also uses book value, with several fallback options, but does not typically make use of book earnings. OECD, </w:t>
      </w:r>
      <w:r w:rsidRPr="009F549F">
        <w:rPr>
          <w:rFonts w:eastAsia="Century Schoolbook"/>
          <w:i/>
        </w:rPr>
        <w:t xml:space="preserve">supra </w:t>
      </w:r>
      <w:r w:rsidRPr="009F549F">
        <w:rPr>
          <w:rFonts w:eastAsia="Century Schoolbook"/>
        </w:rPr>
        <w:t xml:space="preserve">note </w:t>
      </w:r>
      <w:r w:rsidRPr="00036097">
        <w:rPr>
          <w:rFonts w:eastAsia="Century Schoolbook"/>
        </w:rPr>
        <w:fldChar w:fldCharType="begin"/>
      </w:r>
      <w:r w:rsidRPr="00036097">
        <w:rPr>
          <w:rFonts w:eastAsia="Century Schoolbook"/>
        </w:rPr>
        <w:instrText xml:space="preserve"> NOTEREF _Ref115157070 \h  \* MERGEFORMAT </w:instrText>
      </w:r>
      <w:r w:rsidRPr="00036097">
        <w:rPr>
          <w:rFonts w:eastAsia="Century Schoolbook"/>
        </w:rPr>
      </w:r>
      <w:r w:rsidRPr="00036097">
        <w:rPr>
          <w:rFonts w:eastAsia="Century Schoolbook"/>
        </w:rPr>
        <w:fldChar w:fldCharType="separate"/>
      </w:r>
      <w:r>
        <w:rPr>
          <w:rFonts w:eastAsia="Century Schoolbook"/>
        </w:rPr>
        <w:t>76</w:t>
      </w:r>
      <w:r w:rsidRPr="00036097">
        <w:rPr>
          <w:rFonts w:eastAsia="Century Schoolbook"/>
        </w:rPr>
        <w:fldChar w:fldCharType="end"/>
      </w:r>
      <w:r w:rsidRPr="00036097">
        <w:rPr>
          <w:rFonts w:eastAsia="Century Schoolbook"/>
        </w:rPr>
        <w:t>,</w:t>
      </w:r>
      <w:r w:rsidRPr="009F549F">
        <w:rPr>
          <w:rFonts w:eastAsia="Century Schoolbook"/>
        </w:rPr>
        <w:t xml:space="preserve"> at 86. </w:t>
      </w:r>
    </w:p>
  </w:footnote>
  <w:footnote w:id="115">
    <w:p w14:paraId="5865C170" w14:textId="39676022" w:rsidR="006E30B5" w:rsidRPr="009F549F" w:rsidRDefault="006E30B5">
      <w:pPr>
        <w:rPr>
          <w:rFonts w:eastAsia="Century Schoolbook"/>
        </w:rPr>
      </w:pPr>
      <w:r w:rsidRPr="009F549F">
        <w:rPr>
          <w:vertAlign w:val="superscript"/>
        </w:rPr>
        <w:footnoteRef/>
      </w:r>
      <w:r w:rsidRPr="00036097">
        <w:rPr>
          <w:rFonts w:eastAsia="Century Schoolbook"/>
        </w:rPr>
        <w:t xml:space="preserve"> </w:t>
      </w:r>
      <w:proofErr w:type="spellStart"/>
      <w:r w:rsidRPr="00036097">
        <w:rPr>
          <w:rFonts w:eastAsia="Century Schoolbook"/>
        </w:rPr>
        <w:t>Hongler</w:t>
      </w:r>
      <w:proofErr w:type="spellEnd"/>
      <w:r w:rsidRPr="00036097">
        <w:rPr>
          <w:rFonts w:eastAsia="Century Schoolbook"/>
        </w:rPr>
        <w:t xml:space="preserve"> &amp; </w:t>
      </w:r>
      <w:proofErr w:type="spellStart"/>
      <w:r w:rsidRPr="00036097">
        <w:rPr>
          <w:rFonts w:eastAsia="Century Schoolbook"/>
        </w:rPr>
        <w:t>Mauchle</w:t>
      </w:r>
      <w:proofErr w:type="spellEnd"/>
      <w:r w:rsidRPr="00036097">
        <w:rPr>
          <w:rFonts w:eastAsia="Century Schoolbook"/>
        </w:rPr>
        <w:t xml:space="preserve">, </w:t>
      </w:r>
      <w:r w:rsidRPr="00036097">
        <w:rPr>
          <w:rFonts w:eastAsia="Century Schoolbook"/>
          <w:i/>
          <w:iCs/>
        </w:rPr>
        <w:t xml:space="preserve">supra </w:t>
      </w:r>
      <w:r w:rsidRPr="00036097">
        <w:rPr>
          <w:rFonts w:eastAsia="Century Schoolbook"/>
        </w:rPr>
        <w:t xml:space="preserve">note </w:t>
      </w:r>
      <w:r w:rsidRPr="00036097">
        <w:rPr>
          <w:rFonts w:eastAsia="Century Schoolbook"/>
        </w:rPr>
        <w:fldChar w:fldCharType="begin"/>
      </w:r>
      <w:r w:rsidRPr="00036097">
        <w:rPr>
          <w:rFonts w:eastAsia="Century Schoolbook"/>
        </w:rPr>
        <w:instrText xml:space="preserve"> NOTEREF _Ref115167898 \h  \* MERGEFORMAT </w:instrText>
      </w:r>
      <w:r w:rsidRPr="00036097">
        <w:rPr>
          <w:rFonts w:eastAsia="Century Schoolbook"/>
        </w:rPr>
      </w:r>
      <w:r w:rsidRPr="00036097">
        <w:rPr>
          <w:rFonts w:eastAsia="Century Schoolbook"/>
        </w:rPr>
        <w:fldChar w:fldCharType="separate"/>
      </w:r>
      <w:r>
        <w:rPr>
          <w:rFonts w:eastAsia="Century Schoolbook"/>
        </w:rPr>
        <w:t>112</w:t>
      </w:r>
      <w:r w:rsidRPr="00036097">
        <w:rPr>
          <w:rFonts w:eastAsia="Century Schoolbook"/>
        </w:rPr>
        <w:fldChar w:fldCharType="end"/>
      </w:r>
      <w:r w:rsidRPr="00036097">
        <w:rPr>
          <w:rFonts w:eastAsia="Century Schoolbook"/>
        </w:rPr>
        <w:t>, at 649</w:t>
      </w:r>
      <w:r>
        <w:rPr>
          <w:rFonts w:eastAsia="Century Schoolbook"/>
        </w:rPr>
        <w:t>.</w:t>
      </w:r>
      <w:r w:rsidRPr="00036097">
        <w:rPr>
          <w:rFonts w:eastAsia="Century Schoolbook"/>
        </w:rPr>
        <w:t xml:space="preserve"> </w:t>
      </w:r>
    </w:p>
  </w:footnote>
  <w:footnote w:id="116">
    <w:p w14:paraId="52BAB88F" w14:textId="1D02C552" w:rsidR="006E30B5" w:rsidRPr="009F549F" w:rsidRDefault="006E30B5">
      <w:pPr>
        <w:rPr>
          <w:rFonts w:eastAsia="Century Schoolbook"/>
        </w:rPr>
      </w:pPr>
      <w:r w:rsidRPr="009F549F">
        <w:rPr>
          <w:vertAlign w:val="superscript"/>
        </w:rPr>
        <w:footnoteRef/>
      </w:r>
      <w:r w:rsidRPr="00036097">
        <w:rPr>
          <w:rFonts w:eastAsia="Century Schoolbook"/>
        </w:rPr>
        <w:t xml:space="preserve"> </w:t>
      </w:r>
      <w:r w:rsidRPr="00036097">
        <w:rPr>
          <w:rFonts w:eastAsia="Century Schoolbook"/>
          <w:i/>
          <w:iCs/>
        </w:rPr>
        <w:t>See</w:t>
      </w:r>
      <w:r w:rsidRPr="009F549F">
        <w:rPr>
          <w:rFonts w:eastAsia="Century Schoolbook"/>
          <w:i/>
        </w:rPr>
        <w:t xml:space="preserve"> </w:t>
      </w:r>
      <w:r w:rsidRPr="009F549F">
        <w:rPr>
          <w:rFonts w:eastAsia="Century Schoolbook"/>
        </w:rPr>
        <w:t xml:space="preserve">George K. Yin, </w:t>
      </w:r>
      <w:r w:rsidRPr="009F549F">
        <w:rPr>
          <w:rFonts w:eastAsia="Century Schoolbook"/>
          <w:i/>
        </w:rPr>
        <w:t>Getting Serious About Corporate Tax Shelters: Taking a Lesson from History</w:t>
      </w:r>
      <w:r w:rsidRPr="009F549F">
        <w:rPr>
          <w:rFonts w:eastAsia="Century Schoolbook"/>
        </w:rPr>
        <w:t xml:space="preserve">, 54 </w:t>
      </w:r>
      <w:r w:rsidRPr="009F549F">
        <w:rPr>
          <w:rFonts w:eastAsia="Century Schoolbook"/>
          <w:smallCaps/>
        </w:rPr>
        <w:t>SMU L. Rev.</w:t>
      </w:r>
      <w:r w:rsidRPr="009F549F">
        <w:rPr>
          <w:rFonts w:eastAsia="Century Schoolbook"/>
        </w:rPr>
        <w:t xml:space="preserve"> </w:t>
      </w:r>
      <w:r w:rsidRPr="009F549F">
        <w:rPr>
          <w:rFonts w:eastAsia="Century Schoolbook"/>
        </w:rPr>
        <w:t xml:space="preserve">209, </w:t>
      </w:r>
      <w:r w:rsidRPr="00036097">
        <w:rPr>
          <w:rFonts w:eastAsia="Century Schoolbook"/>
        </w:rPr>
        <w:t>224–25</w:t>
      </w:r>
      <w:r w:rsidRPr="009F549F">
        <w:rPr>
          <w:rFonts w:eastAsia="Century Schoolbook"/>
        </w:rPr>
        <w:t xml:space="preserve"> (2001)</w:t>
      </w:r>
      <w:r>
        <w:rPr>
          <w:rFonts w:eastAsia="Century Schoolbook"/>
        </w:rPr>
        <w:t xml:space="preserve"> (suggesting that book income is more "transparent" and less likely to be manipulated downwards by firms).</w:t>
      </w:r>
    </w:p>
  </w:footnote>
  <w:footnote w:id="117">
    <w:p w14:paraId="60471BBE" w14:textId="387CBCEE" w:rsidR="006E30B5" w:rsidRPr="009F549F" w:rsidRDefault="006E30B5">
      <w:pPr>
        <w:rPr>
          <w:rFonts w:eastAsia="Century Schoolbook"/>
        </w:rPr>
      </w:pPr>
      <w:r w:rsidRPr="009F549F">
        <w:rPr>
          <w:vertAlign w:val="superscript"/>
        </w:rPr>
        <w:footnoteRef/>
      </w:r>
      <w:r w:rsidRPr="009F549F">
        <w:rPr>
          <w:rFonts w:eastAsia="Century Schoolbook"/>
        </w:rPr>
        <w:t xml:space="preserve"> Wolfgang </w:t>
      </w:r>
      <w:r w:rsidRPr="00036097">
        <w:rPr>
          <w:rFonts w:eastAsia="Century Schoolbook"/>
        </w:rPr>
        <w:t>Schön</w:t>
      </w:r>
      <w:r w:rsidRPr="009F549F">
        <w:rPr>
          <w:rFonts w:eastAsia="Century Schoolbook"/>
        </w:rPr>
        <w:t xml:space="preserve">, </w:t>
      </w:r>
      <w:r w:rsidRPr="009F549F">
        <w:rPr>
          <w:rFonts w:eastAsia="Century Schoolbook"/>
          <w:i/>
        </w:rPr>
        <w:t xml:space="preserve">The Odd Couple: A Common Future for Financial and Tax </w:t>
      </w:r>
      <w:r w:rsidRPr="00036097">
        <w:rPr>
          <w:rFonts w:eastAsia="Century Schoolbook"/>
          <w:i/>
        </w:rPr>
        <w:t>Accounting?</w:t>
      </w:r>
      <w:r w:rsidRPr="00036097">
        <w:rPr>
          <w:rFonts w:eastAsia="Century Schoolbook"/>
        </w:rPr>
        <w:t>,</w:t>
      </w:r>
      <w:r w:rsidRPr="009F549F">
        <w:rPr>
          <w:rFonts w:eastAsia="Century Schoolbook"/>
        </w:rPr>
        <w:t xml:space="preserve"> 58 </w:t>
      </w:r>
      <w:r w:rsidRPr="009F549F">
        <w:rPr>
          <w:rFonts w:eastAsia="Century Schoolbook"/>
          <w:smallCaps/>
        </w:rPr>
        <w:t>Tax L. Rev.</w:t>
      </w:r>
      <w:r w:rsidRPr="009F549F">
        <w:rPr>
          <w:rFonts w:eastAsia="Century Schoolbook"/>
        </w:rPr>
        <w:t xml:space="preserve"> 111, 143</w:t>
      </w:r>
      <w:r w:rsidRPr="00036097">
        <w:rPr>
          <w:rFonts w:eastAsia="Century Schoolbook"/>
        </w:rPr>
        <w:t>–</w:t>
      </w:r>
      <w:r w:rsidRPr="009F549F">
        <w:rPr>
          <w:rFonts w:eastAsia="Century Schoolbook"/>
        </w:rPr>
        <w:t xml:space="preserve">44 (2005); Yin, </w:t>
      </w:r>
      <w:r w:rsidRPr="009F549F">
        <w:rPr>
          <w:rFonts w:eastAsia="Century Schoolbook"/>
          <w:i/>
        </w:rPr>
        <w:t>supra</w:t>
      </w:r>
      <w:r w:rsidRPr="009F549F">
        <w:rPr>
          <w:rFonts w:eastAsia="Century Schoolbook"/>
        </w:rPr>
        <w:t xml:space="preserve"> note </w:t>
      </w:r>
      <w:r w:rsidRPr="00036097">
        <w:rPr>
          <w:rFonts w:eastAsia="Century Schoolbook"/>
        </w:rPr>
        <w:fldChar w:fldCharType="begin"/>
      </w:r>
      <w:r w:rsidRPr="00036097">
        <w:rPr>
          <w:rFonts w:eastAsia="Century Schoolbook"/>
        </w:rPr>
        <w:instrText xml:space="preserve"> NOTEREF _Ref115190636 \h  \* MERGEFORMAT </w:instrText>
      </w:r>
      <w:r w:rsidRPr="00036097">
        <w:rPr>
          <w:rFonts w:eastAsia="Century Schoolbook"/>
        </w:rPr>
      </w:r>
      <w:r w:rsidRPr="00036097">
        <w:rPr>
          <w:rFonts w:eastAsia="Century Schoolbook"/>
        </w:rPr>
        <w:fldChar w:fldCharType="separate"/>
      </w:r>
      <w:r>
        <w:rPr>
          <w:rFonts w:eastAsia="Century Schoolbook"/>
        </w:rPr>
        <w:t>116</w:t>
      </w:r>
      <w:r w:rsidRPr="00036097">
        <w:rPr>
          <w:rFonts w:eastAsia="Century Schoolbook"/>
        </w:rPr>
        <w:fldChar w:fldCharType="end"/>
      </w:r>
      <w:r w:rsidRPr="00036097">
        <w:rPr>
          <w:rFonts w:eastAsia="Century Schoolbook"/>
        </w:rPr>
        <w:t>,</w:t>
      </w:r>
      <w:r w:rsidRPr="009F549F">
        <w:rPr>
          <w:rFonts w:eastAsia="Century Schoolbook"/>
        </w:rPr>
        <w:t xml:space="preserve"> at 225. </w:t>
      </w:r>
    </w:p>
  </w:footnote>
  <w:footnote w:id="118">
    <w:p w14:paraId="2300210A" w14:textId="53D2C86E" w:rsidR="006E30B5" w:rsidRPr="009F549F" w:rsidRDefault="006E30B5">
      <w:pPr>
        <w:rPr>
          <w:rFonts w:eastAsia="Century Schoolbook"/>
        </w:rPr>
      </w:pPr>
      <w:r w:rsidRPr="009F549F">
        <w:rPr>
          <w:vertAlign w:val="superscript"/>
        </w:rPr>
        <w:footnoteRef/>
      </w:r>
      <w:r w:rsidRPr="009F549F">
        <w:rPr>
          <w:rFonts w:eastAsia="Century Schoolbook"/>
        </w:rPr>
        <w:t xml:space="preserve"> </w:t>
      </w:r>
      <w:r w:rsidRPr="00036097">
        <w:rPr>
          <w:rFonts w:eastAsia="Century Schoolbook"/>
          <w:i/>
          <w:iCs/>
        </w:rPr>
        <w:t xml:space="preserve">See </w:t>
      </w:r>
      <w:r w:rsidRPr="00036097">
        <w:rPr>
          <w:rFonts w:eastAsia="Century Schoolbook"/>
          <w:i/>
        </w:rPr>
        <w:t>e</w:t>
      </w:r>
      <w:r w:rsidRPr="009F549F">
        <w:rPr>
          <w:rFonts w:eastAsia="Century Schoolbook"/>
          <w:i/>
        </w:rPr>
        <w:t>.g</w:t>
      </w:r>
      <w:r w:rsidRPr="009F549F">
        <w:rPr>
          <w:rFonts w:eastAsia="Century Schoolbook"/>
        </w:rPr>
        <w:t xml:space="preserve">., Michelle Hanlon, Stacie Kelley </w:t>
      </w:r>
      <w:proofErr w:type="spellStart"/>
      <w:r w:rsidRPr="009F549F">
        <w:rPr>
          <w:rFonts w:eastAsia="Century Schoolbook"/>
        </w:rPr>
        <w:t>Laplante</w:t>
      </w:r>
      <w:proofErr w:type="spellEnd"/>
      <w:r w:rsidRPr="007D6E99">
        <w:rPr>
          <w:rFonts w:ascii="Century Schoolbook" w:eastAsia="Century Schoolbook" w:hAnsi="Century Schoolbook" w:cs="Century Schoolbook"/>
          <w:sz w:val="20"/>
          <w:szCs w:val="20"/>
        </w:rPr>
        <w:t>,</w:t>
      </w:r>
      <w:r w:rsidRPr="009F549F">
        <w:rPr>
          <w:rFonts w:eastAsia="Century Schoolbook"/>
        </w:rPr>
        <w:t xml:space="preserve"> &amp; Terry Shevlin, </w:t>
      </w:r>
      <w:r w:rsidRPr="009F549F">
        <w:rPr>
          <w:rFonts w:eastAsia="Century Schoolbook"/>
          <w:i/>
        </w:rPr>
        <w:t>Evidence for the Possible Information Loss of Conforming Book Income and Taxable Income</w:t>
      </w:r>
      <w:r w:rsidRPr="009F549F">
        <w:rPr>
          <w:rFonts w:eastAsia="Century Schoolbook"/>
        </w:rPr>
        <w:t>, 48 J.</w:t>
      </w:r>
      <w:r w:rsidRPr="007D6E99">
        <w:rPr>
          <w:rFonts w:ascii="Century Schoolbook" w:eastAsia="Century Schoolbook" w:hAnsi="Century Schoolbook" w:cs="Century Schoolbook"/>
          <w:sz w:val="20"/>
          <w:szCs w:val="20"/>
        </w:rPr>
        <w:t xml:space="preserve"> </w:t>
      </w:r>
      <w:r w:rsidRPr="009F549F">
        <w:rPr>
          <w:rFonts w:eastAsia="Century Schoolbook"/>
        </w:rPr>
        <w:t xml:space="preserve">L. &amp; </w:t>
      </w:r>
      <w:r w:rsidRPr="009F549F">
        <w:rPr>
          <w:rFonts w:eastAsia="Century Schoolbook"/>
          <w:smallCaps/>
        </w:rPr>
        <w:t>Econ</w:t>
      </w:r>
      <w:r w:rsidRPr="009F549F">
        <w:rPr>
          <w:rFonts w:eastAsia="Century Schoolbook"/>
        </w:rPr>
        <w:t xml:space="preserve">. 407, 423–29 (2005); </w:t>
      </w:r>
      <w:r w:rsidRPr="009F549F">
        <w:rPr>
          <w:rFonts w:eastAsia="Century Schoolbook"/>
          <w:i/>
        </w:rPr>
        <w:t xml:space="preserve">see </w:t>
      </w:r>
      <w:r w:rsidRPr="00036097">
        <w:rPr>
          <w:rFonts w:eastAsia="Century Schoolbook"/>
          <w:i/>
        </w:rPr>
        <w:t>also</w:t>
      </w:r>
      <w:r w:rsidRPr="00036097">
        <w:rPr>
          <w:rFonts w:eastAsia="Century Schoolbook"/>
        </w:rPr>
        <w:t xml:space="preserve"> </w:t>
      </w:r>
      <w:proofErr w:type="spellStart"/>
      <w:r w:rsidRPr="009F549F">
        <w:rPr>
          <w:rFonts w:eastAsia="Century Schoolbook"/>
        </w:rPr>
        <w:t>Itai</w:t>
      </w:r>
      <w:proofErr w:type="spellEnd"/>
      <w:r w:rsidRPr="009F549F">
        <w:rPr>
          <w:rFonts w:eastAsia="Century Schoolbook"/>
        </w:rPr>
        <w:t xml:space="preserve"> Grinberg, </w:t>
      </w:r>
      <w:r w:rsidRPr="009F549F">
        <w:rPr>
          <w:rFonts w:eastAsia="Century Schoolbook"/>
          <w:i/>
        </w:rPr>
        <w:t>Stabilizing “Pillar One”: Corporate Profit Reallocation in an Uncertain Environment</w:t>
      </w:r>
      <w:r w:rsidRPr="009F549F">
        <w:rPr>
          <w:rFonts w:eastAsia="Century Schoolbook"/>
        </w:rPr>
        <w:t xml:space="preserve">, 23 </w:t>
      </w:r>
      <w:r w:rsidRPr="009F549F">
        <w:rPr>
          <w:rFonts w:eastAsia="Century Schoolbook"/>
          <w:smallCaps/>
        </w:rPr>
        <w:t>Fla. Tax Rev</w:t>
      </w:r>
      <w:r w:rsidRPr="009F549F">
        <w:rPr>
          <w:rFonts w:eastAsia="Century Schoolbook"/>
        </w:rPr>
        <w:t>. 130, 179</w:t>
      </w:r>
      <w:r w:rsidRPr="007D6E99">
        <w:rPr>
          <w:rFonts w:ascii="Century Schoolbook" w:eastAsia="Century Schoolbook" w:hAnsi="Century Schoolbook" w:cs="Century Schoolbook"/>
          <w:sz w:val="20"/>
          <w:szCs w:val="20"/>
        </w:rPr>
        <w:t>–80</w:t>
      </w:r>
      <w:r w:rsidRPr="009F549F">
        <w:rPr>
          <w:rFonts w:eastAsia="Century Schoolbook"/>
        </w:rPr>
        <w:t xml:space="preserve"> (2019) (summarizing literature). For a broader discussion of techniques firms use to manipulate accounting data, see </w:t>
      </w:r>
      <w:r w:rsidRPr="00036097">
        <w:rPr>
          <w:rFonts w:eastAsia="Century Schoolbook"/>
        </w:rPr>
        <w:t xml:space="preserve">H. </w:t>
      </w:r>
      <w:r w:rsidRPr="009F549F">
        <w:rPr>
          <w:rFonts w:eastAsia="Century Schoolbook"/>
        </w:rPr>
        <w:t>David</w:t>
      </w:r>
      <w:r>
        <w:rPr>
          <w:rFonts w:ascii="Century Schoolbook" w:eastAsia="Century Schoolbook" w:hAnsi="Century Schoolbook" w:cs="Century Schoolbook"/>
          <w:sz w:val="20"/>
          <w:szCs w:val="20"/>
        </w:rPr>
        <w:t xml:space="preserve"> </w:t>
      </w:r>
      <w:r w:rsidRPr="009F549F">
        <w:rPr>
          <w:rFonts w:eastAsia="Century Schoolbook"/>
        </w:rPr>
        <w:t xml:space="preserve"> Sherman &amp; S. David Young, </w:t>
      </w:r>
      <w:r w:rsidRPr="009F549F">
        <w:rPr>
          <w:rFonts w:eastAsia="Century Schoolbook"/>
          <w:i/>
        </w:rPr>
        <w:t>Where Financial Reporting Still Falls Short</w:t>
      </w:r>
      <w:r w:rsidRPr="009F549F">
        <w:rPr>
          <w:rFonts w:eastAsia="Century Schoolbook"/>
        </w:rPr>
        <w:t xml:space="preserve">, </w:t>
      </w:r>
      <w:r w:rsidRPr="009F549F">
        <w:rPr>
          <w:rFonts w:eastAsia="Century Schoolbook"/>
          <w:smallCaps/>
        </w:rPr>
        <w:t>Harv. Bus. Rev</w:t>
      </w:r>
      <w:r w:rsidRPr="00036097">
        <w:rPr>
          <w:rFonts w:eastAsia="Century Schoolbook"/>
          <w:smallCaps/>
        </w:rPr>
        <w:t xml:space="preserve">., </w:t>
      </w:r>
      <w:r w:rsidRPr="009F549F">
        <w:rPr>
          <w:rFonts w:eastAsia="Century Schoolbook"/>
        </w:rPr>
        <w:t>July</w:t>
      </w:r>
      <w:r w:rsidRPr="00036097">
        <w:rPr>
          <w:rFonts w:eastAsia="Century Schoolbook"/>
        </w:rPr>
        <w:t>–</w:t>
      </w:r>
      <w:r w:rsidRPr="009F549F">
        <w:rPr>
          <w:rFonts w:eastAsia="Century Schoolbook"/>
        </w:rPr>
        <w:t>Aug. 2016</w:t>
      </w:r>
      <w:r w:rsidRPr="00036097">
        <w:rPr>
          <w:rFonts w:eastAsia="Century Schoolbook"/>
        </w:rPr>
        <w:t xml:space="preserve">, at </w:t>
      </w:r>
      <w:r w:rsidRPr="00036097" w:rsidDel="00177C88">
        <w:rPr>
          <w:rFonts w:eastAsia="Century Schoolbook"/>
        </w:rPr>
        <w:t>76</w:t>
      </w:r>
      <w:r w:rsidRPr="00036097">
        <w:rPr>
          <w:rFonts w:eastAsia="Century Schoolbook"/>
        </w:rPr>
        <w:t>–84.</w:t>
      </w:r>
      <w:r w:rsidRPr="009F549F">
        <w:rPr>
          <w:rFonts w:eastAsia="Century Schoolbook"/>
        </w:rPr>
        <w:t xml:space="preserve"> For critique of the empirical studies, see Mihir </w:t>
      </w:r>
      <w:r w:rsidRPr="00036097">
        <w:rPr>
          <w:rFonts w:eastAsia="Century Schoolbook"/>
        </w:rPr>
        <w:t xml:space="preserve">A. </w:t>
      </w:r>
      <w:r w:rsidRPr="009F549F">
        <w:rPr>
          <w:rFonts w:eastAsia="Century Schoolbook"/>
        </w:rPr>
        <w:t xml:space="preserve">Desai &amp; </w:t>
      </w:r>
      <w:proofErr w:type="spellStart"/>
      <w:r w:rsidRPr="009F549F">
        <w:rPr>
          <w:rFonts w:eastAsia="Century Schoolbook"/>
        </w:rPr>
        <w:t>Dhammika</w:t>
      </w:r>
      <w:proofErr w:type="spellEnd"/>
      <w:r w:rsidRPr="009F549F">
        <w:rPr>
          <w:rFonts w:eastAsia="Century Schoolbook"/>
        </w:rPr>
        <w:t xml:space="preserve"> Dharmapala,</w:t>
      </w:r>
      <w:r w:rsidRPr="009F549F">
        <w:rPr>
          <w:rFonts w:eastAsia="Century Schoolbook"/>
          <w:i/>
        </w:rPr>
        <w:t xml:space="preserve"> Earnings Management, Corporate Tax Shelters, and Book-Tax Alignment</w:t>
      </w:r>
      <w:r w:rsidRPr="009F549F">
        <w:rPr>
          <w:rFonts w:eastAsia="Century Schoolbook"/>
        </w:rPr>
        <w:t xml:space="preserve">, 62 </w:t>
      </w:r>
      <w:r w:rsidRPr="009F549F">
        <w:rPr>
          <w:rFonts w:eastAsia="Century Schoolbook"/>
          <w:smallCaps/>
        </w:rPr>
        <w:t>Nat’l Tax J</w:t>
      </w:r>
      <w:r w:rsidRPr="009F549F">
        <w:rPr>
          <w:rFonts w:eastAsia="Century Schoolbook"/>
        </w:rPr>
        <w:t>. 169, 182 (</w:t>
      </w:r>
      <w:r w:rsidRPr="00036097">
        <w:rPr>
          <w:rFonts w:eastAsia="Century Schoolbook"/>
        </w:rPr>
        <w:t>2009</w:t>
      </w:r>
      <w:r w:rsidRPr="009F549F">
        <w:rPr>
          <w:rFonts w:eastAsia="Century Schoolbook"/>
        </w:rPr>
        <w:t>).</w:t>
      </w:r>
    </w:p>
  </w:footnote>
  <w:footnote w:id="119">
    <w:p w14:paraId="57004E61" w14:textId="20115CBC" w:rsidR="006E30B5" w:rsidRPr="009F549F" w:rsidRDefault="006E30B5">
      <w:pPr>
        <w:rPr>
          <w:rFonts w:eastAsia="Century Schoolbook"/>
        </w:rPr>
      </w:pPr>
      <w:r w:rsidRPr="009F549F">
        <w:rPr>
          <w:vertAlign w:val="superscript"/>
        </w:rPr>
        <w:footnoteRef/>
      </w:r>
      <w:r w:rsidRPr="00036097">
        <w:rPr>
          <w:rFonts w:eastAsia="Century Schoolbook"/>
        </w:rPr>
        <w:t xml:space="preserve"> </w:t>
      </w:r>
      <w:r w:rsidRPr="00036097">
        <w:rPr>
          <w:rFonts w:eastAsia="Century Schoolbook"/>
          <w:i/>
          <w:iCs/>
        </w:rPr>
        <w:t xml:space="preserve">See </w:t>
      </w:r>
      <w:r w:rsidRPr="00036097">
        <w:rPr>
          <w:rFonts w:eastAsia="Century Schoolbook"/>
        </w:rPr>
        <w:t xml:space="preserve">Kyle </w:t>
      </w:r>
      <w:proofErr w:type="spellStart"/>
      <w:r w:rsidRPr="00036097">
        <w:rPr>
          <w:rFonts w:eastAsia="Century Schoolbook"/>
        </w:rPr>
        <w:t>Peterdy</w:t>
      </w:r>
      <w:proofErr w:type="spellEnd"/>
      <w:r w:rsidRPr="00036097">
        <w:rPr>
          <w:rFonts w:eastAsia="Century Schoolbook"/>
        </w:rPr>
        <w:t xml:space="preserve">, </w:t>
      </w:r>
      <w:r>
        <w:rPr>
          <w:rFonts w:eastAsia="Century Schoolbook"/>
          <w:i/>
          <w:iCs/>
        </w:rPr>
        <w:t>Valuation</w:t>
      </w:r>
      <w:r w:rsidRPr="00036097">
        <w:rPr>
          <w:rFonts w:eastAsia="Century Schoolbook"/>
        </w:rPr>
        <w:t xml:space="preserve">, </w:t>
      </w:r>
      <w:r w:rsidRPr="00FC4864">
        <w:rPr>
          <w:rFonts w:eastAsia="Century Schoolbook"/>
          <w:smallCaps/>
        </w:rPr>
        <w:t>Corp</w:t>
      </w:r>
      <w:r w:rsidRPr="00036097">
        <w:rPr>
          <w:rFonts w:eastAsia="Century Schoolbook"/>
          <w:smallCaps/>
        </w:rPr>
        <w:t>.</w:t>
      </w:r>
      <w:r w:rsidRPr="00FC4864">
        <w:rPr>
          <w:rFonts w:eastAsia="Century Schoolbook"/>
          <w:smallCaps/>
        </w:rPr>
        <w:t xml:space="preserve"> Fin</w:t>
      </w:r>
      <w:r w:rsidRPr="00036097">
        <w:rPr>
          <w:rFonts w:eastAsia="Century Schoolbook"/>
          <w:smallCaps/>
        </w:rPr>
        <w:t>.</w:t>
      </w:r>
      <w:r w:rsidRPr="00FC4864">
        <w:rPr>
          <w:rFonts w:eastAsia="Century Schoolbook"/>
          <w:smallCaps/>
        </w:rPr>
        <w:t xml:space="preserve"> Ins</w:t>
      </w:r>
      <w:r w:rsidRPr="00036097">
        <w:rPr>
          <w:rFonts w:eastAsia="Century Schoolbook"/>
          <w:smallCaps/>
        </w:rPr>
        <w:t>t.</w:t>
      </w:r>
      <w:r w:rsidRPr="00036097">
        <w:rPr>
          <w:rFonts w:eastAsia="Century Schoolbook"/>
        </w:rPr>
        <w:t xml:space="preserve"> (June 28, 2022), </w:t>
      </w:r>
      <w:r w:rsidRPr="00FC4864">
        <w:rPr>
          <w:rFonts w:eastAsia="Century Schoolbook"/>
        </w:rPr>
        <w:t xml:space="preserve">https://corporatefinanceinstitute.com/resources/knowledge/valuation/valuation </w:t>
      </w:r>
      <w:hyperlink w:history="1"/>
      <w:r w:rsidRPr="00ED527E">
        <w:rPr>
          <w:rFonts w:eastAsia="Century Schoolbook"/>
          <w:color w:val="1155CC"/>
        </w:rPr>
        <w:t xml:space="preserve"> </w:t>
      </w:r>
      <w:r w:rsidRPr="000843AB">
        <w:rPr>
          <w:rFonts w:eastAsia="Century Schoolbook"/>
          <w:color w:val="000000" w:themeColor="text1"/>
        </w:rPr>
        <w:t xml:space="preserve">[https://perma.cc/F5H7-LU73]. </w:t>
      </w:r>
    </w:p>
  </w:footnote>
  <w:footnote w:id="120">
    <w:p w14:paraId="41CBBF99" w14:textId="71511AA6" w:rsidR="006E30B5" w:rsidRPr="009F549F" w:rsidRDefault="006E30B5">
      <w:pPr>
        <w:rPr>
          <w:rFonts w:eastAsia="Century Schoolbook"/>
        </w:rPr>
      </w:pPr>
      <w:r w:rsidRPr="009F549F">
        <w:rPr>
          <w:vertAlign w:val="superscript"/>
        </w:rPr>
        <w:footnoteRef/>
      </w:r>
      <w:r w:rsidRPr="009F549F">
        <w:rPr>
          <w:rFonts w:eastAsia="Century Schoolbook"/>
        </w:rPr>
        <w:t xml:space="preserve"> </w:t>
      </w:r>
      <w:proofErr w:type="spellStart"/>
      <w:r w:rsidRPr="009F549F">
        <w:rPr>
          <w:rFonts w:eastAsia="Century Schoolbook"/>
          <w:smallCaps/>
        </w:rPr>
        <w:t>Aswath</w:t>
      </w:r>
      <w:proofErr w:type="spellEnd"/>
      <w:r w:rsidRPr="009F549F">
        <w:rPr>
          <w:rFonts w:eastAsia="Century Schoolbook"/>
          <w:smallCaps/>
        </w:rPr>
        <w:t xml:space="preserve"> Damodaran, Damodaran on Valuation: Security Analysis for Investment and Corporate Finance</w:t>
      </w:r>
      <w:r w:rsidRPr="009F549F">
        <w:rPr>
          <w:rFonts w:eastAsia="Century Schoolbook"/>
        </w:rPr>
        <w:t xml:space="preserve"> 25–78 (2d ed. 2006).</w:t>
      </w:r>
      <w:r w:rsidRPr="00036097">
        <w:rPr>
          <w:rFonts w:eastAsia="Century Schoolbook"/>
        </w:rPr>
        <w:t xml:space="preserve"> </w:t>
      </w:r>
    </w:p>
  </w:footnote>
  <w:footnote w:id="121">
    <w:p w14:paraId="40821AB0" w14:textId="551F60C0" w:rsidR="006E30B5" w:rsidRPr="009F549F" w:rsidRDefault="006E30B5">
      <w:pPr>
        <w:rPr>
          <w:rFonts w:eastAsia="Century Schoolbook"/>
        </w:rPr>
      </w:pPr>
      <w:r w:rsidRPr="009F549F">
        <w:rPr>
          <w:vertAlign w:val="superscript"/>
        </w:rPr>
        <w:footnoteRef/>
      </w:r>
      <w:r w:rsidRPr="009F549F">
        <w:rPr>
          <w:rFonts w:eastAsia="Century Schoolbook"/>
        </w:rPr>
        <w:t xml:space="preserve"> </w:t>
      </w:r>
      <w:r w:rsidRPr="009F549F">
        <w:rPr>
          <w:rFonts w:eastAsia="Century Schoolbook"/>
          <w:i/>
        </w:rPr>
        <w:t>See</w:t>
      </w:r>
      <w:r w:rsidRPr="009F549F">
        <w:rPr>
          <w:rFonts w:eastAsia="Century Schoolbook"/>
        </w:rPr>
        <w:t xml:space="preserve"> Stephen Daly, Helen Hughson</w:t>
      </w:r>
      <w:r w:rsidRPr="007D6E99">
        <w:rPr>
          <w:rFonts w:ascii="Century Schoolbook" w:eastAsia="Century Schoolbook" w:hAnsi="Century Schoolbook" w:cs="Century Schoolbook"/>
          <w:sz w:val="20"/>
          <w:szCs w:val="20"/>
        </w:rPr>
        <w:t>,</w:t>
      </w:r>
      <w:r w:rsidRPr="009F549F">
        <w:rPr>
          <w:rFonts w:eastAsia="Century Schoolbook"/>
        </w:rPr>
        <w:t xml:space="preserve"> &amp; Glen </w:t>
      </w:r>
      <w:proofErr w:type="spellStart"/>
      <w:r w:rsidRPr="009F549F">
        <w:rPr>
          <w:rFonts w:eastAsia="Century Schoolbook"/>
        </w:rPr>
        <w:t>Loutzenhiser</w:t>
      </w:r>
      <w:proofErr w:type="spellEnd"/>
      <w:r w:rsidRPr="009F549F">
        <w:rPr>
          <w:rFonts w:eastAsia="Century Schoolbook"/>
        </w:rPr>
        <w:t xml:space="preserve">, </w:t>
      </w:r>
      <w:r w:rsidRPr="009F549F">
        <w:rPr>
          <w:rFonts w:eastAsia="Century Schoolbook"/>
          <w:i/>
        </w:rPr>
        <w:t xml:space="preserve">Valuation for </w:t>
      </w:r>
      <w:r w:rsidRPr="00036097">
        <w:rPr>
          <w:rFonts w:eastAsia="Century Schoolbook"/>
          <w:i/>
        </w:rPr>
        <w:t xml:space="preserve">the </w:t>
      </w:r>
      <w:r w:rsidRPr="009F549F">
        <w:rPr>
          <w:rFonts w:eastAsia="Century Schoolbook"/>
          <w:i/>
        </w:rPr>
        <w:t xml:space="preserve">Purposes of </w:t>
      </w:r>
      <w:r w:rsidRPr="00036097">
        <w:rPr>
          <w:rFonts w:eastAsia="Century Schoolbook"/>
          <w:i/>
        </w:rPr>
        <w:t>a</w:t>
      </w:r>
      <w:r w:rsidRPr="009F549F">
        <w:rPr>
          <w:rFonts w:eastAsia="Century Schoolbook"/>
          <w:i/>
        </w:rPr>
        <w:t xml:space="preserve"> Wealth Tax</w:t>
      </w:r>
      <w:r w:rsidRPr="009F549F">
        <w:rPr>
          <w:rFonts w:eastAsia="Century Schoolbook"/>
        </w:rPr>
        <w:t xml:space="preserve">, 42 </w:t>
      </w:r>
      <w:r w:rsidRPr="009F549F">
        <w:rPr>
          <w:rFonts w:eastAsia="Century Schoolbook"/>
          <w:smallCaps/>
        </w:rPr>
        <w:t>Fiscal Stud.</w:t>
      </w:r>
      <w:r w:rsidRPr="009F549F">
        <w:rPr>
          <w:rFonts w:eastAsia="Century Schoolbook"/>
        </w:rPr>
        <w:t xml:space="preserve"> 615, 632–33 (2021) (summarizing critiques).</w:t>
      </w:r>
    </w:p>
  </w:footnote>
  <w:footnote w:id="122">
    <w:p w14:paraId="5A469E10" w14:textId="50E709CD" w:rsidR="006E30B5" w:rsidRPr="009F549F" w:rsidRDefault="006E30B5">
      <w:pPr>
        <w:rPr>
          <w:rFonts w:eastAsia="Century Schoolbook"/>
        </w:rPr>
      </w:pPr>
      <w:r w:rsidRPr="009F549F">
        <w:rPr>
          <w:vertAlign w:val="superscript"/>
        </w:rPr>
        <w:footnoteRef/>
      </w:r>
      <w:r w:rsidRPr="00036097">
        <w:rPr>
          <w:rFonts w:eastAsia="Century Schoolbook"/>
        </w:rPr>
        <w:t xml:space="preserve"> </w:t>
      </w:r>
      <w:r w:rsidRPr="009F549F">
        <w:rPr>
          <w:rFonts w:eastAsia="Century Schoolbook"/>
          <w:i/>
        </w:rPr>
        <w:t>Uber Technologies Market Cap 2017–</w:t>
      </w:r>
      <w:r w:rsidRPr="00ED527E">
        <w:rPr>
          <w:rFonts w:eastAsia="Century Schoolbook"/>
          <w:i/>
          <w:iCs/>
        </w:rPr>
        <w:t>202</w:t>
      </w:r>
      <w:r w:rsidRPr="00036097">
        <w:rPr>
          <w:rFonts w:eastAsia="Century Schoolbook"/>
          <w:i/>
          <w:iCs/>
        </w:rPr>
        <w:t>2</w:t>
      </w:r>
      <w:r w:rsidRPr="00036097">
        <w:rPr>
          <w:rFonts w:eastAsia="Century Schoolbook"/>
        </w:rPr>
        <w:t xml:space="preserve">, </w:t>
      </w:r>
      <w:r w:rsidRPr="009F48D3">
        <w:rPr>
          <w:rFonts w:eastAsia="Century Schoolbook"/>
          <w:smallCaps/>
        </w:rPr>
        <w:t>Macrotrends</w:t>
      </w:r>
      <w:r w:rsidRPr="00036097">
        <w:rPr>
          <w:rFonts w:eastAsia="Century Schoolbook"/>
        </w:rPr>
        <w:t xml:space="preserve">, </w:t>
      </w:r>
      <w:r w:rsidRPr="000843AB">
        <w:rPr>
          <w:rFonts w:eastAsia="Century Schoolbook"/>
        </w:rPr>
        <w:t>https://www.macrotrends.net/stocks/charts/UBER/uber-technologies/market-cap [https://perma.cc/AC3T-B8Y4]</w:t>
      </w:r>
      <w:r w:rsidRPr="009A0854">
        <w:rPr>
          <w:rFonts w:eastAsia="Century Schoolbook"/>
        </w:rPr>
        <w:t>;</w:t>
      </w:r>
      <w:r w:rsidRPr="009F549F">
        <w:rPr>
          <w:rFonts w:eastAsia="Century Schoolbook"/>
        </w:rPr>
        <w:t xml:space="preserve"> Alex Wilhelm, </w:t>
      </w:r>
      <w:r w:rsidRPr="009F549F">
        <w:rPr>
          <w:rFonts w:eastAsia="Century Schoolbook"/>
          <w:i/>
        </w:rPr>
        <w:t xml:space="preserve">Will </w:t>
      </w:r>
      <w:r w:rsidRPr="00036097">
        <w:rPr>
          <w:rFonts w:eastAsia="Century Schoolbook"/>
          <w:i/>
        </w:rPr>
        <w:t>Ride-Hailing Profits Ever Come?</w:t>
      </w:r>
      <w:r w:rsidRPr="00036097">
        <w:rPr>
          <w:rFonts w:eastAsia="Century Schoolbook"/>
        </w:rPr>
        <w:t xml:space="preserve">, </w:t>
      </w:r>
      <w:proofErr w:type="spellStart"/>
      <w:r w:rsidRPr="00036097">
        <w:rPr>
          <w:rFonts w:eastAsia="Century Schoolbook"/>
          <w:smallCaps/>
        </w:rPr>
        <w:t>Techcrunch</w:t>
      </w:r>
      <w:proofErr w:type="spellEnd"/>
      <w:r w:rsidRPr="00036097">
        <w:rPr>
          <w:rFonts w:eastAsia="Century Schoolbook"/>
        </w:rPr>
        <w:t xml:space="preserve"> (Feb. 12, 2021, 11:16 AM)</w:t>
      </w:r>
      <w:r>
        <w:rPr>
          <w:rFonts w:eastAsia="Century Schoolbook"/>
        </w:rPr>
        <w:t xml:space="preserve">, </w:t>
      </w:r>
      <w:r w:rsidRPr="001667DD">
        <w:rPr>
          <w:rFonts w:eastAsia="Century Schoolbook"/>
        </w:rPr>
        <w:t>https://techcrunch.com/2021/</w:t>
      </w:r>
      <w:r>
        <w:rPr>
          <w:rFonts w:eastAsia="Century Schoolbook"/>
        </w:rPr>
        <w:br/>
      </w:r>
      <w:r w:rsidRPr="001667DD">
        <w:rPr>
          <w:rFonts w:eastAsia="Century Schoolbook"/>
        </w:rPr>
        <w:t>02/12/will-</w:t>
      </w:r>
      <w:r w:rsidRPr="009F549F">
        <w:rPr>
          <w:rFonts w:eastAsia="Century Schoolbook"/>
        </w:rPr>
        <w:t>ride-hailing</w:t>
      </w:r>
      <w:r w:rsidRPr="001667DD">
        <w:rPr>
          <w:rFonts w:eastAsia="Century Schoolbook"/>
        </w:rPr>
        <w:t>-</w:t>
      </w:r>
      <w:r w:rsidRPr="009F549F">
        <w:rPr>
          <w:rFonts w:eastAsia="Century Schoolbook"/>
        </w:rPr>
        <w:t>profits</w:t>
      </w:r>
      <w:r w:rsidRPr="001667DD">
        <w:rPr>
          <w:rFonts w:eastAsia="Century Schoolbook"/>
        </w:rPr>
        <w:t>-</w:t>
      </w:r>
      <w:r w:rsidRPr="009F549F">
        <w:rPr>
          <w:rFonts w:eastAsia="Century Schoolbook"/>
        </w:rPr>
        <w:t>ever</w:t>
      </w:r>
      <w:r w:rsidRPr="001667DD">
        <w:rPr>
          <w:rFonts w:eastAsia="Century Schoolbook"/>
        </w:rPr>
        <w:t>-</w:t>
      </w:r>
      <w:r w:rsidRPr="009F549F">
        <w:rPr>
          <w:rFonts w:eastAsia="Century Schoolbook"/>
        </w:rPr>
        <w:t>come</w:t>
      </w:r>
      <w:r w:rsidRPr="00036097">
        <w:rPr>
          <w:rFonts w:eastAsia="Century Schoolbook"/>
        </w:rPr>
        <w:t xml:space="preserve"> </w:t>
      </w:r>
      <w:r w:rsidRPr="004258C8">
        <w:rPr>
          <w:rFonts w:eastAsia="Century Schoolbook"/>
        </w:rPr>
        <w:t>[</w:t>
      </w:r>
      <w:r w:rsidRPr="000843AB">
        <w:rPr>
          <w:rFonts w:eastAsia="Century Schoolbook"/>
        </w:rPr>
        <w:t>https://perma.cc/D7PB-VK7Q]</w:t>
      </w:r>
      <w:r w:rsidRPr="009F549F">
        <w:rPr>
          <w:rFonts w:eastAsia="Century Schoolbook"/>
        </w:rPr>
        <w:t xml:space="preserve"> (noting that by one measure Uber lost $8.5 billion in 2019). </w:t>
      </w:r>
    </w:p>
  </w:footnote>
  <w:footnote w:id="123">
    <w:p w14:paraId="622ABAA1" w14:textId="4A6FED31" w:rsidR="006E30B5" w:rsidRPr="009F549F" w:rsidRDefault="006E30B5">
      <w:pPr>
        <w:rPr>
          <w:rFonts w:eastAsia="Century Schoolbook"/>
        </w:rPr>
      </w:pPr>
      <w:r w:rsidRPr="009F549F">
        <w:rPr>
          <w:vertAlign w:val="superscript"/>
        </w:rPr>
        <w:footnoteRef/>
      </w:r>
      <w:r w:rsidRPr="009F549F">
        <w:rPr>
          <w:rFonts w:eastAsia="Century Schoolbook"/>
        </w:rPr>
        <w:t xml:space="preserve"> </w:t>
      </w:r>
      <w:r w:rsidRPr="009F549F">
        <w:rPr>
          <w:rFonts w:eastAsia="Century Schoolbook"/>
          <w:smallCaps/>
        </w:rPr>
        <w:t xml:space="preserve">Jenny </w:t>
      </w:r>
      <w:proofErr w:type="spellStart"/>
      <w:r w:rsidRPr="009F549F">
        <w:rPr>
          <w:rFonts w:eastAsia="Century Schoolbook"/>
          <w:smallCaps/>
        </w:rPr>
        <w:t>Nelder</w:t>
      </w:r>
      <w:proofErr w:type="spellEnd"/>
      <w:r w:rsidRPr="009F549F">
        <w:rPr>
          <w:rFonts w:eastAsia="Century Schoolbook"/>
          <w:smallCaps/>
        </w:rPr>
        <w:t xml:space="preserve">, </w:t>
      </w:r>
      <w:r>
        <w:rPr>
          <w:rFonts w:eastAsia="Century Schoolbook"/>
          <w:smallCaps/>
        </w:rPr>
        <w:t xml:space="preserve">Wealth Tax Comm’n Background Papers, No. </w:t>
      </w:r>
      <w:r>
        <w:rPr>
          <w:rFonts w:eastAsia="Century Schoolbook"/>
          <w:smallCaps/>
        </w:rPr>
        <w:t xml:space="preserve">141, </w:t>
      </w:r>
      <w:r w:rsidRPr="009F549F">
        <w:rPr>
          <w:rFonts w:eastAsia="Century Schoolbook"/>
          <w:smallCaps/>
        </w:rPr>
        <w:t xml:space="preserve">Valuation of </w:t>
      </w:r>
      <w:r w:rsidRPr="007D6E99">
        <w:rPr>
          <w:rFonts w:ascii="Century Schoolbook" w:eastAsia="Century Schoolbook" w:hAnsi="Century Schoolbook" w:cs="Century Schoolbook"/>
          <w:i/>
          <w:sz w:val="20"/>
          <w:szCs w:val="20"/>
        </w:rPr>
        <w:t xml:space="preserve">Unincorporated Businesses (Sole Traders and Partnerships) and </w:t>
      </w:r>
      <w:r w:rsidRPr="009F549F">
        <w:rPr>
          <w:rFonts w:eastAsia="Century Schoolbook"/>
          <w:smallCaps/>
        </w:rPr>
        <w:t>Shareholdings in Private Companies</w:t>
      </w:r>
      <w:r w:rsidRPr="009F549F">
        <w:rPr>
          <w:rFonts w:eastAsia="Century Schoolbook"/>
          <w:i/>
        </w:rPr>
        <w:t xml:space="preserve"> </w:t>
      </w:r>
      <w:r w:rsidRPr="009F549F">
        <w:rPr>
          <w:rFonts w:eastAsia="Century Schoolbook"/>
        </w:rPr>
        <w:t>10</w:t>
      </w:r>
      <w:r>
        <w:rPr>
          <w:rFonts w:eastAsia="Century Schoolbook"/>
        </w:rPr>
        <w:t xml:space="preserve"> (2020).</w:t>
      </w:r>
      <w:r w:rsidRPr="00036097">
        <w:rPr>
          <w:rFonts w:eastAsia="Century Schoolbook"/>
        </w:rPr>
        <w:t xml:space="preserve"> </w:t>
      </w:r>
    </w:p>
  </w:footnote>
  <w:footnote w:id="124">
    <w:p w14:paraId="1C46A522" w14:textId="569B72C2" w:rsidR="006E30B5" w:rsidRPr="009F549F" w:rsidRDefault="006E30B5">
      <w:pPr>
        <w:rPr>
          <w:rFonts w:eastAsia="Century Schoolbook"/>
        </w:rPr>
      </w:pPr>
      <w:r w:rsidRPr="009F549F">
        <w:rPr>
          <w:vertAlign w:val="superscript"/>
        </w:rPr>
        <w:footnoteRef/>
      </w:r>
      <w:r w:rsidRPr="009F549F">
        <w:rPr>
          <w:rFonts w:eastAsia="Century Schoolbook"/>
        </w:rPr>
        <w:t xml:space="preserve"> </w:t>
      </w:r>
      <w:r w:rsidRPr="009F549F">
        <w:rPr>
          <w:rFonts w:eastAsia="Century Schoolbook"/>
          <w:smallCaps/>
        </w:rPr>
        <w:t xml:space="preserve">Daniel Ryan, </w:t>
      </w:r>
      <w:r>
        <w:rPr>
          <w:rFonts w:eastAsia="Century Schoolbook"/>
          <w:smallCaps/>
        </w:rPr>
        <w:t xml:space="preserve">Wealth Tax Comm’n Background Papers, No. </w:t>
      </w:r>
      <w:r>
        <w:rPr>
          <w:rFonts w:eastAsia="Century Schoolbook"/>
          <w:smallCaps/>
        </w:rPr>
        <w:t xml:space="preserve">144, </w:t>
      </w:r>
      <w:r w:rsidRPr="009F549F">
        <w:rPr>
          <w:rFonts w:eastAsia="Century Schoolbook"/>
          <w:smallCaps/>
        </w:rPr>
        <w:t>Valuation of Businesses and Intellectual Property Assets</w:t>
      </w:r>
      <w:r w:rsidRPr="00036097">
        <w:rPr>
          <w:rFonts w:eastAsia="Century Schoolbook"/>
        </w:rPr>
        <w:t xml:space="preserve"> 13</w:t>
      </w:r>
      <w:r w:rsidRPr="009F549F">
        <w:rPr>
          <w:rFonts w:eastAsia="Century Schoolbook"/>
        </w:rPr>
        <w:t xml:space="preserve"> (2020</w:t>
      </w:r>
      <w:r>
        <w:rPr>
          <w:rFonts w:eastAsia="Century Schoolbook"/>
        </w:rPr>
        <w:t>).</w:t>
      </w:r>
      <w:r w:rsidRPr="00036097">
        <w:rPr>
          <w:rFonts w:eastAsia="Century Schoolbook"/>
        </w:rPr>
        <w:t xml:space="preserve"> </w:t>
      </w:r>
    </w:p>
  </w:footnote>
  <w:footnote w:id="125">
    <w:p w14:paraId="5D39B961" w14:textId="4FEB3C29" w:rsidR="006E30B5" w:rsidRPr="009F549F" w:rsidRDefault="006E30B5">
      <w:pPr>
        <w:rPr>
          <w:rFonts w:eastAsia="Century Schoolbook"/>
        </w:rPr>
      </w:pPr>
      <w:r w:rsidRPr="009F549F">
        <w:rPr>
          <w:vertAlign w:val="superscript"/>
        </w:rPr>
        <w:footnoteRef/>
      </w:r>
      <w:r w:rsidRPr="009F549F">
        <w:rPr>
          <w:rFonts w:eastAsia="Century Schoolbook"/>
        </w:rPr>
        <w:t xml:space="preserve"> Daly et al</w:t>
      </w:r>
      <w:r w:rsidRPr="00036097">
        <w:rPr>
          <w:rFonts w:eastAsia="Century Schoolbook"/>
        </w:rPr>
        <w:t>.,</w:t>
      </w:r>
      <w:r w:rsidRPr="009F549F">
        <w:rPr>
          <w:rFonts w:eastAsia="Century Schoolbook"/>
        </w:rPr>
        <w:t xml:space="preserve"> </w:t>
      </w:r>
      <w:r w:rsidRPr="009F549F">
        <w:rPr>
          <w:rFonts w:eastAsia="Century Schoolbook"/>
          <w:i/>
        </w:rPr>
        <w:t>supra</w:t>
      </w:r>
      <w:r w:rsidRPr="009F549F">
        <w:rPr>
          <w:rFonts w:eastAsia="Century Schoolbook"/>
        </w:rPr>
        <w:t xml:space="preserve"> note </w:t>
      </w:r>
      <w:r w:rsidRPr="00036097">
        <w:rPr>
          <w:rFonts w:eastAsia="Century Schoolbook"/>
        </w:rPr>
        <w:fldChar w:fldCharType="begin"/>
      </w:r>
      <w:r w:rsidRPr="00036097">
        <w:rPr>
          <w:rFonts w:eastAsia="Century Schoolbook"/>
        </w:rPr>
        <w:instrText xml:space="preserve"> NOTEREF _Ref115379283 \h  \* MERGEFORMAT </w:instrText>
      </w:r>
      <w:r w:rsidRPr="00036097">
        <w:rPr>
          <w:rFonts w:eastAsia="Century Schoolbook"/>
        </w:rPr>
      </w:r>
      <w:r w:rsidRPr="00036097">
        <w:rPr>
          <w:rFonts w:eastAsia="Century Schoolbook"/>
        </w:rPr>
        <w:fldChar w:fldCharType="separate"/>
      </w:r>
      <w:r>
        <w:rPr>
          <w:rFonts w:eastAsia="Century Schoolbook"/>
        </w:rPr>
        <w:t>121</w:t>
      </w:r>
      <w:r w:rsidRPr="00036097">
        <w:rPr>
          <w:rFonts w:eastAsia="Century Schoolbook"/>
        </w:rPr>
        <w:fldChar w:fldCharType="end"/>
      </w:r>
      <w:r w:rsidRPr="00036097">
        <w:rPr>
          <w:rFonts w:eastAsia="Century Schoolbook"/>
        </w:rPr>
        <w:t>,</w:t>
      </w:r>
      <w:r w:rsidRPr="009F549F">
        <w:rPr>
          <w:rFonts w:eastAsia="Century Schoolbook"/>
        </w:rPr>
        <w:t xml:space="preserve"> at 634 (“Alternatively, rather than ignoring human capital, a formula based on book value, as adopted in Switzerland, seems a plausible option for valuing smaller private businesses</w:t>
      </w:r>
      <w:r w:rsidRPr="00036097">
        <w:rPr>
          <w:rFonts w:eastAsia="Century Schoolbook"/>
        </w:rPr>
        <w:t>.”).</w:t>
      </w:r>
    </w:p>
  </w:footnote>
  <w:footnote w:id="126">
    <w:p w14:paraId="0A89A8A4" w14:textId="70D2CAB3" w:rsidR="006E30B5" w:rsidRPr="009F549F" w:rsidRDefault="006E30B5">
      <w:pPr>
        <w:rPr>
          <w:rFonts w:eastAsia="Century Schoolbook"/>
        </w:rPr>
      </w:pPr>
      <w:r w:rsidRPr="009F549F">
        <w:rPr>
          <w:vertAlign w:val="superscript"/>
        </w:rPr>
        <w:footnoteRef/>
      </w:r>
      <w:r w:rsidRPr="009F549F">
        <w:rPr>
          <w:rFonts w:eastAsia="Century Schoolbook"/>
        </w:rPr>
        <w:t xml:space="preserve"> Galle et al.</w:t>
      </w:r>
      <w:r w:rsidRPr="009F549F">
        <w:rPr>
          <w:rFonts w:eastAsia="Century Schoolbook"/>
        </w:rPr>
        <w:t xml:space="preserve">, </w:t>
      </w:r>
      <w:r w:rsidRPr="009F549F">
        <w:rPr>
          <w:rFonts w:eastAsia="Century Schoolbook"/>
          <w:i/>
        </w:rPr>
        <w:t>supra</w:t>
      </w:r>
      <w:r w:rsidRPr="009F549F">
        <w:rPr>
          <w:rFonts w:eastAsia="Century Schoolbook"/>
        </w:rPr>
        <w:t xml:space="preserve"> note </w:t>
      </w:r>
      <w:r w:rsidRPr="00036097">
        <w:rPr>
          <w:rFonts w:eastAsia="Century Schoolbook"/>
        </w:rPr>
        <w:fldChar w:fldCharType="begin"/>
      </w:r>
      <w:r w:rsidRPr="00036097">
        <w:rPr>
          <w:rFonts w:eastAsia="Century Schoolbook"/>
        </w:rPr>
        <w:instrText xml:space="preserve"> NOTEREF _Ref115379713 \h  \* MERGEFORMAT </w:instrText>
      </w:r>
      <w:r w:rsidRPr="00036097">
        <w:rPr>
          <w:rFonts w:eastAsia="Century Schoolbook"/>
        </w:rPr>
      </w:r>
      <w:r w:rsidRPr="00036097">
        <w:rPr>
          <w:rFonts w:eastAsia="Century Schoolbook"/>
        </w:rPr>
        <w:fldChar w:fldCharType="separate"/>
      </w:r>
      <w:r>
        <w:rPr>
          <w:rFonts w:eastAsia="Century Schoolbook"/>
        </w:rPr>
        <w:t>31</w:t>
      </w:r>
      <w:r w:rsidRPr="00036097">
        <w:rPr>
          <w:rFonts w:eastAsia="Century Schoolbook"/>
        </w:rPr>
        <w:fldChar w:fldCharType="end"/>
      </w:r>
      <w:r w:rsidRPr="00036097">
        <w:rPr>
          <w:rFonts w:eastAsia="Century Schoolbook"/>
        </w:rPr>
        <w:t>,</w:t>
      </w:r>
      <w:r w:rsidRPr="009F549F">
        <w:rPr>
          <w:rFonts w:eastAsia="Century Schoolbook"/>
        </w:rPr>
        <w:t xml:space="preserve"> at 15.</w:t>
      </w:r>
      <w:r w:rsidRPr="00036097">
        <w:rPr>
          <w:rFonts w:eastAsia="Century Schoolbook"/>
        </w:rPr>
        <w:t xml:space="preserve"> </w:t>
      </w:r>
    </w:p>
  </w:footnote>
  <w:footnote w:id="127">
    <w:p w14:paraId="5E174C5B" w14:textId="4BF51098" w:rsidR="006E30B5" w:rsidRPr="009F549F" w:rsidRDefault="006E30B5">
      <w:pPr>
        <w:rPr>
          <w:rFonts w:eastAsia="Century Schoolbook"/>
        </w:rPr>
      </w:pPr>
      <w:r w:rsidRPr="009F549F">
        <w:rPr>
          <w:vertAlign w:val="superscript"/>
        </w:rPr>
        <w:footnoteRef/>
      </w:r>
      <w:r w:rsidRPr="009F549F">
        <w:rPr>
          <w:rFonts w:eastAsia="Century Schoolbook"/>
        </w:rPr>
        <w:t xml:space="preserve"> </w:t>
      </w:r>
      <w:r w:rsidRPr="009F549F">
        <w:rPr>
          <w:rFonts w:eastAsia="Century Schoolbook"/>
          <w:i/>
        </w:rPr>
        <w:t>See</w:t>
      </w:r>
      <w:r w:rsidRPr="009F549F">
        <w:rPr>
          <w:rFonts w:eastAsia="Century Schoolbook"/>
        </w:rPr>
        <w:t xml:space="preserve"> </w:t>
      </w:r>
      <w:proofErr w:type="spellStart"/>
      <w:r w:rsidRPr="009F549F">
        <w:rPr>
          <w:rFonts w:eastAsia="Century Schoolbook"/>
        </w:rPr>
        <w:t>Hongler</w:t>
      </w:r>
      <w:proofErr w:type="spellEnd"/>
      <w:r w:rsidRPr="009F549F">
        <w:rPr>
          <w:rFonts w:eastAsia="Century Schoolbook"/>
        </w:rPr>
        <w:t xml:space="preserve"> &amp; </w:t>
      </w:r>
      <w:proofErr w:type="spellStart"/>
      <w:r w:rsidRPr="009F549F">
        <w:rPr>
          <w:rFonts w:eastAsia="Century Schoolbook"/>
        </w:rPr>
        <w:t>Mauchle</w:t>
      </w:r>
      <w:proofErr w:type="spellEnd"/>
      <w:r w:rsidRPr="009F549F">
        <w:rPr>
          <w:rFonts w:eastAsia="Century Schoolbook"/>
        </w:rPr>
        <w:t xml:space="preserve">, </w:t>
      </w:r>
      <w:r w:rsidRPr="009F549F">
        <w:rPr>
          <w:rFonts w:eastAsia="Century Schoolbook"/>
          <w:i/>
        </w:rPr>
        <w:t>supra</w:t>
      </w:r>
      <w:r w:rsidRPr="009F549F">
        <w:rPr>
          <w:rFonts w:eastAsia="Century Schoolbook"/>
        </w:rPr>
        <w:t xml:space="preserve"> note </w:t>
      </w:r>
      <w:r w:rsidRPr="00036097">
        <w:rPr>
          <w:rFonts w:eastAsia="Century Schoolbook"/>
        </w:rPr>
        <w:fldChar w:fldCharType="begin"/>
      </w:r>
      <w:r w:rsidRPr="00036097">
        <w:rPr>
          <w:rFonts w:eastAsia="Century Schoolbook"/>
        </w:rPr>
        <w:instrText xml:space="preserve"> NOTEREF _Ref115167898 \h  \* MERGEFORMAT </w:instrText>
      </w:r>
      <w:r w:rsidRPr="00036097">
        <w:rPr>
          <w:rFonts w:eastAsia="Century Schoolbook"/>
        </w:rPr>
      </w:r>
      <w:r w:rsidRPr="00036097">
        <w:rPr>
          <w:rFonts w:eastAsia="Century Schoolbook"/>
        </w:rPr>
        <w:fldChar w:fldCharType="separate"/>
      </w:r>
      <w:r>
        <w:rPr>
          <w:rFonts w:eastAsia="Century Schoolbook"/>
        </w:rPr>
        <w:t>112</w:t>
      </w:r>
      <w:r w:rsidRPr="00036097">
        <w:rPr>
          <w:rFonts w:eastAsia="Century Schoolbook"/>
        </w:rPr>
        <w:fldChar w:fldCharType="end"/>
      </w:r>
      <w:r w:rsidRPr="00036097">
        <w:rPr>
          <w:rFonts w:eastAsia="Century Schoolbook"/>
        </w:rPr>
        <w:t>,</w:t>
      </w:r>
      <w:r w:rsidRPr="009F549F">
        <w:rPr>
          <w:rFonts w:eastAsia="Century Schoolbook"/>
        </w:rPr>
        <w:t xml:space="preserve"> at 650 (describing common wealth tax controversies in Switzerland). </w:t>
      </w:r>
    </w:p>
  </w:footnote>
  <w:footnote w:id="128">
    <w:p w14:paraId="3ED9226A" w14:textId="2C00E831" w:rsidR="006E30B5" w:rsidRPr="009F549F" w:rsidRDefault="006E30B5">
      <w:pPr>
        <w:rPr>
          <w:rFonts w:eastAsia="Century Schoolbook"/>
        </w:rPr>
      </w:pPr>
      <w:r w:rsidRPr="009F549F">
        <w:rPr>
          <w:vertAlign w:val="superscript"/>
        </w:rPr>
        <w:footnoteRef/>
      </w:r>
      <w:r w:rsidRPr="009F549F">
        <w:rPr>
          <w:rFonts w:eastAsia="Century Schoolbook"/>
        </w:rPr>
        <w:t xml:space="preserve"> Matthew Smith, Owen M. </w:t>
      </w:r>
      <w:proofErr w:type="spellStart"/>
      <w:r w:rsidRPr="009F549F">
        <w:rPr>
          <w:rFonts w:eastAsia="Century Schoolbook"/>
        </w:rPr>
        <w:t>Zidar</w:t>
      </w:r>
      <w:proofErr w:type="spellEnd"/>
      <w:r w:rsidRPr="007D6E99">
        <w:rPr>
          <w:rFonts w:ascii="Century Schoolbook" w:eastAsia="Century Schoolbook" w:hAnsi="Century Schoolbook" w:cs="Century Schoolbook"/>
          <w:sz w:val="20"/>
          <w:szCs w:val="20"/>
        </w:rPr>
        <w:t>,</w:t>
      </w:r>
      <w:r w:rsidRPr="009F549F">
        <w:rPr>
          <w:rFonts w:eastAsia="Century Schoolbook"/>
        </w:rPr>
        <w:t xml:space="preserve"> &amp; Eric Zwick, </w:t>
      </w:r>
      <w:r w:rsidRPr="009F549F">
        <w:rPr>
          <w:rFonts w:eastAsia="Century Schoolbook"/>
          <w:i/>
        </w:rPr>
        <w:t xml:space="preserve">Top Wealth in America: New Estimates and Implications for Taxing the Rich </w:t>
      </w:r>
      <w:r w:rsidRPr="009F549F">
        <w:rPr>
          <w:rFonts w:eastAsia="Century Schoolbook"/>
        </w:rPr>
        <w:t>44–46</w:t>
      </w:r>
      <w:r w:rsidRPr="00036097">
        <w:rPr>
          <w:rFonts w:eastAsia="Century Schoolbook"/>
        </w:rPr>
        <w:t xml:space="preserve"> (Nat’l Bureau of Econ. </w:t>
      </w:r>
      <w:proofErr w:type="spellStart"/>
      <w:r w:rsidRPr="00036097">
        <w:rPr>
          <w:rFonts w:eastAsia="Century Schoolbook"/>
        </w:rPr>
        <w:t>Rsch</w:t>
      </w:r>
      <w:proofErr w:type="spellEnd"/>
      <w:r w:rsidRPr="00036097">
        <w:rPr>
          <w:rFonts w:eastAsia="Century Schoolbook"/>
        </w:rPr>
        <w:t>.,</w:t>
      </w:r>
      <w:r w:rsidRPr="009F549F" w:rsidDel="004B5908">
        <w:rPr>
          <w:rFonts w:eastAsia="Century Schoolbook"/>
        </w:rPr>
        <w:t xml:space="preserve"> </w:t>
      </w:r>
      <w:r w:rsidRPr="009F549F">
        <w:rPr>
          <w:rFonts w:eastAsia="Century Schoolbook"/>
        </w:rPr>
        <w:t>Working Paper No. 29374</w:t>
      </w:r>
      <w:r w:rsidRPr="00036097">
        <w:rPr>
          <w:rFonts w:eastAsia="Century Schoolbook"/>
        </w:rPr>
        <w:t>,</w:t>
      </w:r>
      <w:r w:rsidRPr="009F549F" w:rsidDel="00EB41E8">
        <w:rPr>
          <w:rFonts w:eastAsia="Century Schoolbook"/>
        </w:rPr>
        <w:t xml:space="preserve"> </w:t>
      </w:r>
      <w:r w:rsidRPr="009F549F">
        <w:rPr>
          <w:rFonts w:eastAsia="Century Schoolbook"/>
        </w:rPr>
        <w:t>2021), https://www.nber.org/system/files/</w:t>
      </w:r>
      <w:r>
        <w:rPr>
          <w:rFonts w:eastAsia="Century Schoolbook"/>
        </w:rPr>
        <w:br/>
      </w:r>
      <w:proofErr w:type="spellStart"/>
      <w:r w:rsidRPr="009F549F">
        <w:rPr>
          <w:rFonts w:eastAsia="Century Schoolbook"/>
        </w:rPr>
        <w:t>working_papers</w:t>
      </w:r>
      <w:proofErr w:type="spellEnd"/>
      <w:r w:rsidRPr="009F549F">
        <w:rPr>
          <w:rFonts w:eastAsia="Century Schoolbook"/>
        </w:rPr>
        <w:t>/w29374/w29374.pdf</w:t>
      </w:r>
      <w:r w:rsidRPr="00036097">
        <w:rPr>
          <w:rFonts w:eastAsia="Century Schoolbook"/>
        </w:rPr>
        <w:t xml:space="preserve"> [https://perma.cc/E7LM-HY2Z].</w:t>
      </w:r>
    </w:p>
  </w:footnote>
  <w:footnote w:id="129">
    <w:p w14:paraId="2B0A10CE" w14:textId="55B33A72" w:rsidR="006E30B5" w:rsidRPr="009F549F" w:rsidRDefault="006E30B5">
      <w:pPr>
        <w:rPr>
          <w:rFonts w:eastAsia="Century Schoolbook"/>
        </w:rPr>
      </w:pPr>
      <w:r w:rsidRPr="009F549F">
        <w:rPr>
          <w:vertAlign w:val="superscript"/>
        </w:rPr>
        <w:footnoteRef/>
      </w:r>
      <w:r w:rsidRPr="009F549F">
        <w:rPr>
          <w:rFonts w:eastAsia="Century Schoolbook"/>
        </w:rPr>
        <w:t xml:space="preserve"> </w:t>
      </w:r>
      <w:r w:rsidRPr="009F549F">
        <w:rPr>
          <w:rFonts w:eastAsia="Century Schoolbook"/>
          <w:smallCaps/>
        </w:rPr>
        <w:t>OECD,</w:t>
      </w:r>
      <w:r w:rsidRPr="009F549F">
        <w:rPr>
          <w:rFonts w:eastAsia="Century Schoolbook"/>
        </w:rPr>
        <w:t xml:space="preserve"> </w:t>
      </w:r>
      <w:r w:rsidRPr="009F549F">
        <w:rPr>
          <w:rFonts w:eastAsia="Century Schoolbook"/>
          <w:smallCaps/>
        </w:rPr>
        <w:t xml:space="preserve">The Role and Design of </w:t>
      </w:r>
      <w:r w:rsidRPr="00036097">
        <w:rPr>
          <w:rFonts w:eastAsia="Century Schoolbook"/>
          <w:smallCaps/>
        </w:rPr>
        <w:t xml:space="preserve">Net </w:t>
      </w:r>
      <w:r w:rsidRPr="009F549F">
        <w:rPr>
          <w:rFonts w:eastAsia="Century Schoolbook"/>
          <w:smallCaps/>
        </w:rPr>
        <w:t>Wealth Taxes in the</w:t>
      </w:r>
      <w:r w:rsidRPr="009F549F">
        <w:rPr>
          <w:rFonts w:eastAsia="Century Schoolbook"/>
        </w:rPr>
        <w:t xml:space="preserve"> OECD 86 (2018). </w:t>
      </w:r>
    </w:p>
  </w:footnote>
  <w:footnote w:id="130">
    <w:p w14:paraId="3C336F93" w14:textId="39D870F3" w:rsidR="006E30B5" w:rsidRPr="009F549F" w:rsidRDefault="006E30B5">
      <w:pPr>
        <w:rPr>
          <w:rFonts w:eastAsia="Century Schoolbook"/>
        </w:rPr>
      </w:pPr>
      <w:r w:rsidRPr="009F549F">
        <w:rPr>
          <w:vertAlign w:val="superscript"/>
        </w:rPr>
        <w:footnoteRef/>
      </w:r>
      <w:r w:rsidRPr="009F549F">
        <w:rPr>
          <w:rFonts w:eastAsia="Century Schoolbook"/>
        </w:rPr>
        <w:t xml:space="preserve"> Florian Scheuer &amp; Joel </w:t>
      </w:r>
      <w:proofErr w:type="spellStart"/>
      <w:r w:rsidRPr="009F549F">
        <w:rPr>
          <w:rFonts w:eastAsia="Century Schoolbook"/>
        </w:rPr>
        <w:t>Slemrod</w:t>
      </w:r>
      <w:proofErr w:type="spellEnd"/>
      <w:r w:rsidRPr="009F549F">
        <w:rPr>
          <w:rFonts w:eastAsia="Century Schoolbook"/>
        </w:rPr>
        <w:t xml:space="preserve">, </w:t>
      </w:r>
      <w:r w:rsidRPr="009F549F">
        <w:rPr>
          <w:rFonts w:eastAsia="Century Schoolbook"/>
          <w:i/>
        </w:rPr>
        <w:t>Taxing Our Wealth</w:t>
      </w:r>
      <w:r w:rsidRPr="009F549F">
        <w:rPr>
          <w:rFonts w:eastAsia="Century Schoolbook"/>
        </w:rPr>
        <w:t xml:space="preserve">, 35 J. </w:t>
      </w:r>
      <w:r w:rsidRPr="009F549F">
        <w:rPr>
          <w:rFonts w:eastAsia="Century Schoolbook"/>
          <w:smallCaps/>
        </w:rPr>
        <w:t xml:space="preserve">Econ. </w:t>
      </w:r>
      <w:proofErr w:type="spellStart"/>
      <w:r w:rsidRPr="00036097">
        <w:rPr>
          <w:rFonts w:eastAsia="Century Schoolbook"/>
          <w:smallCaps/>
        </w:rPr>
        <w:t>Persps</w:t>
      </w:r>
      <w:proofErr w:type="spellEnd"/>
      <w:r w:rsidRPr="009F549F">
        <w:rPr>
          <w:rFonts w:eastAsia="Century Schoolbook"/>
          <w:smallCaps/>
        </w:rPr>
        <w:t xml:space="preserve">. </w:t>
      </w:r>
      <w:r w:rsidRPr="009F549F">
        <w:rPr>
          <w:rFonts w:eastAsia="Century Schoolbook"/>
        </w:rPr>
        <w:t>207, 208 (2021).</w:t>
      </w:r>
      <w:r w:rsidRPr="00036097">
        <w:rPr>
          <w:rFonts w:eastAsia="Century Schoolbook"/>
        </w:rPr>
        <w:t xml:space="preserve"> </w:t>
      </w:r>
    </w:p>
  </w:footnote>
  <w:footnote w:id="131">
    <w:p w14:paraId="1C4C31D9" w14:textId="51991758" w:rsidR="006E30B5" w:rsidRPr="009F549F" w:rsidRDefault="006E30B5">
      <w:pPr>
        <w:rPr>
          <w:rFonts w:eastAsia="Century Schoolbook"/>
        </w:rPr>
      </w:pPr>
      <w:r w:rsidRPr="009F549F">
        <w:rPr>
          <w:vertAlign w:val="superscript"/>
        </w:rPr>
        <w:footnoteRef/>
      </w:r>
      <w:r w:rsidRPr="009F549F">
        <w:rPr>
          <w:rFonts w:eastAsia="Century Schoolbook"/>
        </w:rPr>
        <w:t xml:space="preserve"> </w:t>
      </w:r>
      <w:proofErr w:type="spellStart"/>
      <w:r w:rsidRPr="009F549F">
        <w:rPr>
          <w:rFonts w:eastAsia="Century Schoolbook"/>
        </w:rPr>
        <w:t>Schizer</w:t>
      </w:r>
      <w:proofErr w:type="spellEnd"/>
      <w:r w:rsidRPr="009F549F">
        <w:rPr>
          <w:rFonts w:eastAsia="Century Schoolbook"/>
        </w:rPr>
        <w:t xml:space="preserve">, </w:t>
      </w:r>
      <w:r w:rsidRPr="009F549F">
        <w:rPr>
          <w:rFonts w:eastAsia="Century Schoolbook"/>
          <w:i/>
        </w:rPr>
        <w:t xml:space="preserve">supra </w:t>
      </w:r>
      <w:r w:rsidRPr="009F549F">
        <w:rPr>
          <w:rFonts w:eastAsia="Century Schoolbook"/>
        </w:rPr>
        <w:t xml:space="preserve">note </w:t>
      </w:r>
      <w:r w:rsidRPr="00036097">
        <w:rPr>
          <w:rFonts w:eastAsia="Century Schoolbook"/>
        </w:rPr>
        <w:fldChar w:fldCharType="begin"/>
      </w:r>
      <w:r w:rsidRPr="00036097">
        <w:rPr>
          <w:rFonts w:eastAsia="Century Schoolbook"/>
        </w:rPr>
        <w:instrText xml:space="preserve"> NOTEREF _Ref115037095 \h  \* MERGEFORMAT </w:instrText>
      </w:r>
      <w:r w:rsidRPr="00036097">
        <w:rPr>
          <w:rFonts w:eastAsia="Century Schoolbook"/>
        </w:rPr>
      </w:r>
      <w:r w:rsidRPr="00036097">
        <w:rPr>
          <w:rFonts w:eastAsia="Century Schoolbook"/>
        </w:rPr>
        <w:fldChar w:fldCharType="separate"/>
      </w:r>
      <w:r>
        <w:rPr>
          <w:rFonts w:eastAsia="Century Schoolbook"/>
        </w:rPr>
        <w:t>38</w:t>
      </w:r>
      <w:r w:rsidRPr="00036097">
        <w:rPr>
          <w:rFonts w:eastAsia="Century Schoolbook"/>
        </w:rPr>
        <w:fldChar w:fldCharType="end"/>
      </w:r>
      <w:r w:rsidRPr="00036097">
        <w:rPr>
          <w:rFonts w:eastAsia="Century Schoolbook"/>
        </w:rPr>
        <w:t>,</w:t>
      </w:r>
      <w:r w:rsidRPr="009F549F">
        <w:rPr>
          <w:rFonts w:eastAsia="Century Schoolbook"/>
        </w:rPr>
        <w:t xml:space="preserve"> at 1596–97. Although it sounds like the opposite of retrospective taxation, for our purposes we include “ex ante valuation</w:t>
      </w:r>
      <w:r w:rsidRPr="00036097">
        <w:rPr>
          <w:rFonts w:eastAsia="Century Schoolbook"/>
        </w:rPr>
        <w:t xml:space="preserve">” in this category. </w:t>
      </w:r>
      <w:r w:rsidRPr="00036097">
        <w:rPr>
          <w:rFonts w:eastAsia="Century Schoolbook"/>
          <w:i/>
          <w:iCs/>
        </w:rPr>
        <w:t>See</w:t>
      </w:r>
      <w:r w:rsidRPr="009F549F">
        <w:rPr>
          <w:rFonts w:eastAsia="Century Schoolbook"/>
          <w:i/>
        </w:rPr>
        <w:t xml:space="preserve"> </w:t>
      </w:r>
      <w:r w:rsidRPr="009F549F">
        <w:rPr>
          <w:rFonts w:eastAsia="Century Schoolbook"/>
        </w:rPr>
        <w:t xml:space="preserve">Cunningham &amp; Schenk, </w:t>
      </w:r>
      <w:r w:rsidRPr="009F549F">
        <w:rPr>
          <w:rFonts w:eastAsia="Century Schoolbook"/>
          <w:i/>
        </w:rPr>
        <w:t>supra</w:t>
      </w:r>
      <w:r w:rsidRPr="009F549F">
        <w:rPr>
          <w:rFonts w:eastAsia="Century Schoolbook"/>
        </w:rPr>
        <w:t xml:space="preserve"> note </w:t>
      </w:r>
      <w:r w:rsidRPr="00036097">
        <w:rPr>
          <w:rFonts w:eastAsia="Century Schoolbook"/>
        </w:rPr>
        <w:fldChar w:fldCharType="begin"/>
      </w:r>
      <w:r w:rsidRPr="00036097">
        <w:rPr>
          <w:rFonts w:eastAsia="Century Schoolbook"/>
        </w:rPr>
        <w:instrText xml:space="preserve"> NOTEREF _Ref115600030 \h  \* MERGEFORMAT </w:instrText>
      </w:r>
      <w:r w:rsidRPr="00036097">
        <w:rPr>
          <w:rFonts w:eastAsia="Century Schoolbook"/>
        </w:rPr>
      </w:r>
      <w:r w:rsidRPr="00036097">
        <w:rPr>
          <w:rFonts w:eastAsia="Century Schoolbook"/>
        </w:rPr>
        <w:fldChar w:fldCharType="separate"/>
      </w:r>
      <w:r>
        <w:rPr>
          <w:rFonts w:eastAsia="Century Schoolbook"/>
        </w:rPr>
        <w:t>37</w:t>
      </w:r>
      <w:r w:rsidRPr="00036097">
        <w:rPr>
          <w:rFonts w:eastAsia="Century Schoolbook"/>
        </w:rPr>
        <w:fldChar w:fldCharType="end"/>
      </w:r>
      <w:r w:rsidRPr="00036097">
        <w:rPr>
          <w:rFonts w:eastAsia="Century Schoolbook"/>
        </w:rPr>
        <w:t>,</w:t>
      </w:r>
      <w:r w:rsidRPr="009F549F">
        <w:rPr>
          <w:rFonts w:eastAsia="Century Schoolbook"/>
        </w:rPr>
        <w:t xml:space="preserve"> at 734</w:t>
      </w:r>
      <w:r w:rsidRPr="00036097">
        <w:rPr>
          <w:rFonts w:eastAsia="Century Schoolbook"/>
        </w:rPr>
        <w:t>.</w:t>
      </w:r>
      <w:r w:rsidRPr="009F549F">
        <w:rPr>
          <w:rFonts w:eastAsia="Century Schoolbook"/>
        </w:rPr>
        <w:t xml:space="preserve"> Both approaches basically assess property based on a presumption about its annual rate of return, often the risk-free rate. Ex ante valuation also typically includes a retrospective “reconciliation” at the time of sale to capture unexpected gains. </w:t>
      </w:r>
      <w:r w:rsidRPr="009F549F">
        <w:rPr>
          <w:rFonts w:eastAsia="Century Schoolbook"/>
          <w:i/>
        </w:rPr>
        <w:t>Id.</w:t>
      </w:r>
      <w:r w:rsidRPr="009F549F">
        <w:rPr>
          <w:rFonts w:eastAsia="Century Schoolbook"/>
        </w:rPr>
        <w:t xml:space="preserve"> at 736, 741.</w:t>
      </w:r>
    </w:p>
  </w:footnote>
  <w:footnote w:id="132">
    <w:p w14:paraId="32210456" w14:textId="11BD8405" w:rsidR="006E30B5" w:rsidRPr="009F549F" w:rsidRDefault="006E30B5">
      <w:pPr>
        <w:rPr>
          <w:rFonts w:eastAsia="Century Schoolbook"/>
        </w:rPr>
      </w:pPr>
      <w:r w:rsidRPr="009F549F">
        <w:rPr>
          <w:vertAlign w:val="superscript"/>
        </w:rPr>
        <w:footnoteRef/>
      </w:r>
      <w:r w:rsidRPr="009F549F">
        <w:rPr>
          <w:rFonts w:eastAsia="Century Schoolbook"/>
        </w:rPr>
        <w:t xml:space="preserve"> Reed </w:t>
      </w:r>
      <w:proofErr w:type="spellStart"/>
      <w:r w:rsidRPr="009F549F">
        <w:rPr>
          <w:rFonts w:eastAsia="Century Schoolbook"/>
        </w:rPr>
        <w:t>Shuldiner</w:t>
      </w:r>
      <w:proofErr w:type="spellEnd"/>
      <w:r w:rsidRPr="009F549F">
        <w:rPr>
          <w:rFonts w:eastAsia="Century Schoolbook"/>
        </w:rPr>
        <w:t xml:space="preserve">, </w:t>
      </w:r>
      <w:r w:rsidRPr="009F549F">
        <w:rPr>
          <w:rFonts w:eastAsia="Century Schoolbook"/>
          <w:i/>
        </w:rPr>
        <w:t>A General Approach to the Taxation of Financial Instruments</w:t>
      </w:r>
      <w:r w:rsidRPr="009F549F">
        <w:rPr>
          <w:rFonts w:eastAsia="Century Schoolbook"/>
        </w:rPr>
        <w:t xml:space="preserve">, 71 </w:t>
      </w:r>
      <w:r w:rsidRPr="009F549F">
        <w:rPr>
          <w:rFonts w:eastAsia="Century Schoolbook"/>
          <w:smallCaps/>
        </w:rPr>
        <w:t>Tex. L. Rev.</w:t>
      </w:r>
      <w:r w:rsidRPr="009F549F">
        <w:rPr>
          <w:rFonts w:eastAsia="Century Schoolbook"/>
        </w:rPr>
        <w:t xml:space="preserve"> </w:t>
      </w:r>
      <w:r w:rsidRPr="009F549F">
        <w:rPr>
          <w:rFonts w:eastAsia="Century Schoolbook"/>
        </w:rPr>
        <w:t xml:space="preserve">243, 284–89 (1992); Greg </w:t>
      </w:r>
      <w:proofErr w:type="spellStart"/>
      <w:r w:rsidRPr="009F549F">
        <w:rPr>
          <w:rFonts w:eastAsia="Century Schoolbook"/>
        </w:rPr>
        <w:t>Leiserson</w:t>
      </w:r>
      <w:proofErr w:type="spellEnd"/>
      <w:r w:rsidRPr="009F549F">
        <w:rPr>
          <w:rFonts w:eastAsia="Century Schoolbook"/>
        </w:rPr>
        <w:t xml:space="preserve">, </w:t>
      </w:r>
      <w:r w:rsidRPr="009F549F">
        <w:rPr>
          <w:rFonts w:eastAsia="Century Schoolbook"/>
          <w:i/>
        </w:rPr>
        <w:t>Taxing Wealth</w:t>
      </w:r>
      <w:r w:rsidRPr="009F549F">
        <w:rPr>
          <w:rFonts w:eastAsia="Century Schoolbook"/>
        </w:rPr>
        <w:t xml:space="preserve">, </w:t>
      </w:r>
      <w:r w:rsidRPr="009F549F">
        <w:rPr>
          <w:rFonts w:eastAsia="Century Schoolbook"/>
          <w:i/>
        </w:rPr>
        <w:t>in</w:t>
      </w:r>
      <w:r w:rsidRPr="009F549F">
        <w:rPr>
          <w:rFonts w:eastAsia="Century Schoolbook"/>
        </w:rPr>
        <w:t xml:space="preserve"> </w:t>
      </w:r>
      <w:r w:rsidRPr="009F549F">
        <w:rPr>
          <w:rFonts w:eastAsia="Century Schoolbook"/>
          <w:smallCaps/>
        </w:rPr>
        <w:t>Tackling the Tax Code: Equitable and Efficient Ways to Raise Revenue</w:t>
      </w:r>
      <w:r w:rsidRPr="009F549F">
        <w:rPr>
          <w:rFonts w:eastAsia="Century Schoolbook"/>
        </w:rPr>
        <w:t xml:space="preserve"> 89, </w:t>
      </w:r>
      <w:r w:rsidRPr="00036097">
        <w:rPr>
          <w:rFonts w:eastAsia="Century Schoolbook"/>
        </w:rPr>
        <w:t xml:space="preserve">105, 112 (Jay </w:t>
      </w:r>
      <w:proofErr w:type="spellStart"/>
      <w:r w:rsidRPr="00036097">
        <w:rPr>
          <w:rFonts w:eastAsia="Century Schoolbook"/>
        </w:rPr>
        <w:t>Shambaugh</w:t>
      </w:r>
      <w:proofErr w:type="spellEnd"/>
      <w:r w:rsidRPr="00036097">
        <w:rPr>
          <w:rFonts w:eastAsia="Century Schoolbook"/>
        </w:rPr>
        <w:t xml:space="preserve"> &amp; Ryan Nunn</w:t>
      </w:r>
      <w:r w:rsidRPr="009F549F">
        <w:rPr>
          <w:rFonts w:eastAsia="Century Schoolbook"/>
        </w:rPr>
        <w:t xml:space="preserve"> eds., 2020) (proposing a retrospective wealth or mark-to-market tax with annual estimated </w:t>
      </w:r>
      <w:r w:rsidRPr="00036097">
        <w:rPr>
          <w:rFonts w:eastAsia="Century Schoolbook"/>
        </w:rPr>
        <w:t>prepayments</w:t>
      </w:r>
      <w:r w:rsidRPr="009F549F">
        <w:rPr>
          <w:rFonts w:eastAsia="Century Schoolbook"/>
        </w:rPr>
        <w:t xml:space="preserve">). </w:t>
      </w:r>
    </w:p>
  </w:footnote>
  <w:footnote w:id="133">
    <w:p w14:paraId="37B01B0E" w14:textId="2B19E525" w:rsidR="006E30B5" w:rsidRPr="009F549F" w:rsidRDefault="006E30B5">
      <w:pPr>
        <w:rPr>
          <w:rFonts w:eastAsia="Century Schoolbook"/>
        </w:rPr>
      </w:pPr>
      <w:r w:rsidRPr="009F549F">
        <w:rPr>
          <w:vertAlign w:val="superscript"/>
        </w:rPr>
        <w:footnoteRef/>
      </w:r>
      <w:r w:rsidRPr="009F549F">
        <w:rPr>
          <w:rFonts w:eastAsia="Century Schoolbook"/>
        </w:rPr>
        <w:t xml:space="preserve"> </w:t>
      </w:r>
      <w:proofErr w:type="spellStart"/>
      <w:r w:rsidRPr="009F549F">
        <w:rPr>
          <w:rFonts w:eastAsia="Century Schoolbook"/>
        </w:rPr>
        <w:t>Glogower</w:t>
      </w:r>
      <w:proofErr w:type="spellEnd"/>
      <w:r w:rsidRPr="009F549F">
        <w:rPr>
          <w:rFonts w:eastAsia="Century Schoolbook"/>
        </w:rPr>
        <w:t xml:space="preserve">, </w:t>
      </w:r>
      <w:r w:rsidRPr="009F549F">
        <w:rPr>
          <w:rFonts w:eastAsia="Century Schoolbook"/>
          <w:i/>
        </w:rPr>
        <w:t>supra</w:t>
      </w:r>
      <w:r w:rsidRPr="009F549F">
        <w:rPr>
          <w:rFonts w:eastAsia="Century Schoolbook"/>
        </w:rPr>
        <w:t xml:space="preserve"> note </w:t>
      </w:r>
      <w:r w:rsidRPr="00036097">
        <w:rPr>
          <w:rFonts w:eastAsia="Century Schoolbook"/>
        </w:rPr>
        <w:fldChar w:fldCharType="begin"/>
      </w:r>
      <w:r w:rsidRPr="00036097">
        <w:rPr>
          <w:rFonts w:eastAsia="Century Schoolbook"/>
        </w:rPr>
        <w:instrText xml:space="preserve"> NOTEREF _Ref115603608 \h  \* MERGEFORMAT </w:instrText>
      </w:r>
      <w:r w:rsidRPr="00036097">
        <w:rPr>
          <w:rFonts w:eastAsia="Century Schoolbook"/>
        </w:rPr>
      </w:r>
      <w:r w:rsidRPr="00036097">
        <w:rPr>
          <w:rFonts w:eastAsia="Century Schoolbook"/>
        </w:rPr>
        <w:fldChar w:fldCharType="separate"/>
      </w:r>
      <w:r>
        <w:rPr>
          <w:rFonts w:eastAsia="Century Schoolbook"/>
        </w:rPr>
        <w:t>64</w:t>
      </w:r>
      <w:r w:rsidRPr="00036097">
        <w:rPr>
          <w:rFonts w:eastAsia="Century Schoolbook"/>
        </w:rPr>
        <w:fldChar w:fldCharType="end"/>
      </w:r>
      <w:r w:rsidRPr="00036097">
        <w:rPr>
          <w:rFonts w:eastAsia="Century Schoolbook"/>
        </w:rPr>
        <w:t>,</w:t>
      </w:r>
      <w:r w:rsidRPr="009F549F">
        <w:rPr>
          <w:rFonts w:eastAsia="Century Schoolbook"/>
        </w:rPr>
        <w:t xml:space="preserve"> at </w:t>
      </w:r>
      <w:r w:rsidRPr="00036097">
        <w:rPr>
          <w:rFonts w:eastAsia="Century Schoolbook"/>
        </w:rPr>
        <w:t xml:space="preserve">134. </w:t>
      </w:r>
    </w:p>
  </w:footnote>
  <w:footnote w:id="134">
    <w:p w14:paraId="7A0AAA52" w14:textId="1B7876E3" w:rsidR="006E30B5" w:rsidRPr="009F549F" w:rsidRDefault="006E30B5">
      <w:pPr>
        <w:rPr>
          <w:rFonts w:eastAsia="Century Schoolbook"/>
        </w:rPr>
      </w:pPr>
      <w:r w:rsidRPr="009F549F">
        <w:rPr>
          <w:vertAlign w:val="superscript"/>
        </w:rPr>
        <w:footnoteRef/>
      </w:r>
      <w:r w:rsidRPr="009F549F">
        <w:rPr>
          <w:rFonts w:eastAsia="Century Schoolbook"/>
        </w:rPr>
        <w:t xml:space="preserve"> Sen. Ron Wyden, </w:t>
      </w:r>
      <w:r w:rsidRPr="009F549F">
        <w:rPr>
          <w:rFonts w:eastAsia="Century Schoolbook"/>
          <w:i/>
        </w:rPr>
        <w:t>Billionaires Income Tax</w:t>
      </w:r>
      <w:r>
        <w:rPr>
          <w:rFonts w:eastAsia="Century Schoolbook"/>
          <w:i/>
          <w:iCs/>
        </w:rPr>
        <w:t>:</w:t>
      </w:r>
      <w:r w:rsidRPr="009F549F">
        <w:rPr>
          <w:rFonts w:eastAsia="Century Schoolbook"/>
          <w:i/>
        </w:rPr>
        <w:t xml:space="preserve"> Section-by-Section Summary</w:t>
      </w:r>
      <w:r w:rsidRPr="009F549F">
        <w:rPr>
          <w:rFonts w:eastAsia="Century Schoolbook"/>
        </w:rPr>
        <w:t xml:space="preserve">, Oct. </w:t>
      </w:r>
      <w:r w:rsidRPr="009F549F">
        <w:rPr>
          <w:rFonts w:eastAsia="Century Schoolbook"/>
        </w:rPr>
        <w:t>27, 2021, at 9</w:t>
      </w:r>
      <w:r w:rsidRPr="00036097">
        <w:rPr>
          <w:rFonts w:eastAsia="Century Schoolbook"/>
        </w:rPr>
        <w:t xml:space="preserve">, </w:t>
      </w:r>
      <w:r w:rsidRPr="00CB78ED">
        <w:rPr>
          <w:rFonts w:eastAsia="Century Schoolbook"/>
        </w:rPr>
        <w:t>https://www.finance.senate.gov/imo/media/doc/Billionaires</w:t>
      </w:r>
      <w:r>
        <w:rPr>
          <w:rFonts w:eastAsia="Century Schoolbook"/>
        </w:rPr>
        <w:br/>
      </w:r>
      <w:r w:rsidRPr="009403AD">
        <w:rPr>
          <w:rFonts w:eastAsia="Century Schoolbook"/>
        </w:rPr>
        <w:t>%20Income%20Tax%20-%20Section-by-Section.pdf</w:t>
      </w:r>
      <w:r w:rsidRPr="009403AD" w:rsidDel="009403AD">
        <w:rPr>
          <w:rFonts w:eastAsia="Century Schoolbook"/>
        </w:rPr>
        <w:t xml:space="preserve"> </w:t>
      </w:r>
      <w:r w:rsidRPr="00036097">
        <w:rPr>
          <w:rFonts w:eastAsia="Century Schoolbook"/>
        </w:rPr>
        <w:t>[https://perma.cc/4SJ2-FRTC].</w:t>
      </w:r>
      <w:r w:rsidRPr="00036097">
        <w:rPr>
          <w:rFonts w:eastAsia="Century Schoolbook"/>
          <w:b/>
          <w:bCs/>
        </w:rPr>
        <w:t xml:space="preserve"> </w:t>
      </w:r>
    </w:p>
  </w:footnote>
  <w:footnote w:id="135">
    <w:p w14:paraId="0634FB83" w14:textId="78EE6337" w:rsidR="006E30B5" w:rsidRPr="009F549F" w:rsidRDefault="006E30B5">
      <w:pPr>
        <w:rPr>
          <w:rFonts w:eastAsia="Century Schoolbook"/>
        </w:rPr>
      </w:pPr>
      <w:r w:rsidRPr="009F549F">
        <w:rPr>
          <w:vertAlign w:val="superscript"/>
        </w:rPr>
        <w:footnoteRef/>
      </w:r>
      <w:r w:rsidRPr="00036097">
        <w:rPr>
          <w:rFonts w:eastAsia="Century Schoolbook"/>
        </w:rPr>
        <w:t xml:space="preserve"> </w:t>
      </w:r>
      <w:r w:rsidRPr="00036097">
        <w:rPr>
          <w:rFonts w:eastAsia="Century Schoolbook"/>
          <w:i/>
          <w:iCs/>
        </w:rPr>
        <w:t>See</w:t>
      </w:r>
      <w:r w:rsidRPr="009F549F">
        <w:rPr>
          <w:rFonts w:eastAsia="Century Schoolbook"/>
          <w:i/>
        </w:rPr>
        <w:t xml:space="preserve"> </w:t>
      </w:r>
      <w:proofErr w:type="spellStart"/>
      <w:r w:rsidRPr="009F549F">
        <w:rPr>
          <w:rFonts w:eastAsia="Century Schoolbook"/>
        </w:rPr>
        <w:t>Glogower</w:t>
      </w:r>
      <w:proofErr w:type="spellEnd"/>
      <w:r w:rsidRPr="009F549F">
        <w:rPr>
          <w:rFonts w:eastAsia="Century Schoolbook"/>
        </w:rPr>
        <w:t xml:space="preserve">, </w:t>
      </w:r>
      <w:r w:rsidRPr="009F549F">
        <w:rPr>
          <w:rFonts w:eastAsia="Century Schoolbook"/>
          <w:i/>
        </w:rPr>
        <w:t>supra</w:t>
      </w:r>
      <w:r w:rsidRPr="009F549F">
        <w:rPr>
          <w:rFonts w:eastAsia="Century Schoolbook"/>
        </w:rPr>
        <w:t xml:space="preserve"> note </w:t>
      </w:r>
      <w:r w:rsidRPr="00036097">
        <w:rPr>
          <w:rFonts w:eastAsia="Century Schoolbook"/>
        </w:rPr>
        <w:fldChar w:fldCharType="begin"/>
      </w:r>
      <w:r w:rsidRPr="00036097">
        <w:rPr>
          <w:rFonts w:eastAsia="Century Schoolbook"/>
        </w:rPr>
        <w:instrText xml:space="preserve"> NOTEREF _Ref115603608 \h  \* MERGEFORMAT </w:instrText>
      </w:r>
      <w:r w:rsidRPr="00036097">
        <w:rPr>
          <w:rFonts w:eastAsia="Century Schoolbook"/>
        </w:rPr>
      </w:r>
      <w:r w:rsidRPr="00036097">
        <w:rPr>
          <w:rFonts w:eastAsia="Century Schoolbook"/>
        </w:rPr>
        <w:fldChar w:fldCharType="separate"/>
      </w:r>
      <w:r>
        <w:rPr>
          <w:rFonts w:eastAsia="Century Schoolbook"/>
        </w:rPr>
        <w:t>64</w:t>
      </w:r>
      <w:r w:rsidRPr="00036097">
        <w:rPr>
          <w:rFonts w:eastAsia="Century Schoolbook"/>
        </w:rPr>
        <w:fldChar w:fldCharType="end"/>
      </w:r>
      <w:r w:rsidRPr="00036097">
        <w:rPr>
          <w:rFonts w:eastAsia="Century Schoolbook"/>
        </w:rPr>
        <w:t>,</w:t>
      </w:r>
      <w:r w:rsidRPr="009F549F">
        <w:rPr>
          <w:rFonts w:eastAsia="Century Schoolbook"/>
        </w:rPr>
        <w:t xml:space="preserve"> at 128–42.</w:t>
      </w:r>
    </w:p>
  </w:footnote>
  <w:footnote w:id="136">
    <w:p w14:paraId="39A17D79" w14:textId="6E16A351" w:rsidR="006E30B5" w:rsidRPr="009F549F" w:rsidRDefault="006E30B5">
      <w:pPr>
        <w:rPr>
          <w:rFonts w:eastAsia="Century Schoolbook"/>
        </w:rPr>
      </w:pPr>
      <w:r w:rsidRPr="009F549F">
        <w:rPr>
          <w:vertAlign w:val="superscript"/>
        </w:rPr>
        <w:footnoteRef/>
      </w:r>
      <w:r w:rsidRPr="009F549F">
        <w:rPr>
          <w:rFonts w:eastAsia="Century Schoolbook"/>
        </w:rPr>
        <w:t xml:space="preserve"> Gamage &amp; Brooks, </w:t>
      </w:r>
      <w:r w:rsidRPr="009F549F">
        <w:rPr>
          <w:rFonts w:eastAsia="Century Schoolbook"/>
          <w:i/>
        </w:rPr>
        <w:t>supra</w:t>
      </w:r>
      <w:r w:rsidRPr="009F549F">
        <w:rPr>
          <w:rFonts w:eastAsia="Century Schoolbook"/>
        </w:rPr>
        <w:t xml:space="preserve"> note </w:t>
      </w:r>
      <w:r w:rsidRPr="00036097">
        <w:rPr>
          <w:rFonts w:eastAsia="Century Schoolbook"/>
        </w:rPr>
        <w:fldChar w:fldCharType="begin"/>
      </w:r>
      <w:r w:rsidRPr="00036097">
        <w:rPr>
          <w:rFonts w:eastAsia="Century Schoolbook"/>
        </w:rPr>
        <w:instrText xml:space="preserve"> NOTEREF _Ref115336225 \h  \* MERGEFORMAT </w:instrText>
      </w:r>
      <w:r w:rsidRPr="00036097">
        <w:rPr>
          <w:rFonts w:eastAsia="Century Schoolbook"/>
        </w:rPr>
      </w:r>
      <w:r w:rsidRPr="00036097">
        <w:rPr>
          <w:rFonts w:eastAsia="Century Schoolbook"/>
        </w:rPr>
        <w:fldChar w:fldCharType="separate"/>
      </w:r>
      <w:r>
        <w:rPr>
          <w:rFonts w:eastAsia="Century Schoolbook"/>
        </w:rPr>
        <w:t>6</w:t>
      </w:r>
      <w:r w:rsidRPr="00036097">
        <w:rPr>
          <w:rFonts w:eastAsia="Century Schoolbook"/>
        </w:rPr>
        <w:fldChar w:fldCharType="end"/>
      </w:r>
      <w:r w:rsidRPr="00036097">
        <w:rPr>
          <w:rFonts w:eastAsia="Century Schoolbook"/>
        </w:rPr>
        <w:t>, at 495.</w:t>
      </w:r>
      <w:r w:rsidRPr="009F549F">
        <w:rPr>
          <w:rFonts w:eastAsia="Century Schoolbook"/>
        </w:rPr>
        <w:t xml:space="preserve"> </w:t>
      </w:r>
    </w:p>
  </w:footnote>
  <w:footnote w:id="137">
    <w:p w14:paraId="03575D3B" w14:textId="5D774657" w:rsidR="006E30B5" w:rsidRPr="009F549F" w:rsidRDefault="006E30B5">
      <w:pPr>
        <w:rPr>
          <w:rFonts w:eastAsia="Century Schoolbook"/>
        </w:rPr>
      </w:pPr>
      <w:r w:rsidRPr="009F549F">
        <w:rPr>
          <w:vertAlign w:val="superscript"/>
        </w:rPr>
        <w:footnoteRef/>
      </w:r>
      <w:r w:rsidRPr="009F549F">
        <w:rPr>
          <w:rFonts w:eastAsia="Century Schoolbook"/>
        </w:rPr>
        <w:t xml:space="preserve"> </w:t>
      </w:r>
      <w:r w:rsidRPr="009F549F">
        <w:rPr>
          <w:rFonts w:eastAsia="Century Schoolbook"/>
          <w:i/>
        </w:rPr>
        <w:t>Cf</w:t>
      </w:r>
      <w:r w:rsidRPr="009F549F">
        <w:rPr>
          <w:rFonts w:eastAsia="Century Schoolbook"/>
        </w:rPr>
        <w:t xml:space="preserve">. </w:t>
      </w:r>
      <w:proofErr w:type="spellStart"/>
      <w:r w:rsidRPr="009F549F">
        <w:rPr>
          <w:rFonts w:eastAsia="Century Schoolbook"/>
        </w:rPr>
        <w:t>Leiserson</w:t>
      </w:r>
      <w:proofErr w:type="spellEnd"/>
      <w:r w:rsidRPr="009F549F">
        <w:rPr>
          <w:rFonts w:eastAsia="Century Schoolbook"/>
        </w:rPr>
        <w:t xml:space="preserve">, </w:t>
      </w:r>
      <w:r w:rsidRPr="009F549F">
        <w:rPr>
          <w:rFonts w:eastAsia="Century Schoolbook"/>
          <w:i/>
        </w:rPr>
        <w:t xml:space="preserve">supra </w:t>
      </w:r>
      <w:r w:rsidRPr="009F549F">
        <w:rPr>
          <w:rFonts w:eastAsia="Century Schoolbook"/>
        </w:rPr>
        <w:t xml:space="preserve">note </w:t>
      </w:r>
      <w:r w:rsidRPr="00036097">
        <w:rPr>
          <w:rFonts w:eastAsia="Century Schoolbook"/>
        </w:rPr>
        <w:fldChar w:fldCharType="begin"/>
      </w:r>
      <w:r w:rsidRPr="00036097">
        <w:rPr>
          <w:rFonts w:eastAsia="Century Schoolbook"/>
        </w:rPr>
        <w:instrText xml:space="preserve"> NOTEREF _Ref115641644 \h  \* MERGEFORMAT </w:instrText>
      </w:r>
      <w:r w:rsidRPr="00036097">
        <w:rPr>
          <w:rFonts w:eastAsia="Century Schoolbook"/>
        </w:rPr>
      </w:r>
      <w:r w:rsidRPr="00036097">
        <w:rPr>
          <w:rFonts w:eastAsia="Century Schoolbook"/>
        </w:rPr>
        <w:fldChar w:fldCharType="separate"/>
      </w:r>
      <w:r>
        <w:rPr>
          <w:rFonts w:eastAsia="Century Schoolbook"/>
        </w:rPr>
        <w:t>132</w:t>
      </w:r>
      <w:r w:rsidRPr="00036097">
        <w:rPr>
          <w:rFonts w:eastAsia="Century Schoolbook"/>
        </w:rPr>
        <w:fldChar w:fldCharType="end"/>
      </w:r>
      <w:r w:rsidRPr="00036097">
        <w:rPr>
          <w:rFonts w:eastAsia="Century Schoolbook"/>
        </w:rPr>
        <w:t>,</w:t>
      </w:r>
      <w:r w:rsidRPr="009F549F">
        <w:rPr>
          <w:rFonts w:eastAsia="Century Schoolbook"/>
        </w:rPr>
        <w:t xml:space="preserve"> at 93 (noting possibility of strategic timing of sales to minimize effective tax rates); </w:t>
      </w:r>
      <w:proofErr w:type="spellStart"/>
      <w:r w:rsidRPr="009F549F">
        <w:rPr>
          <w:rFonts w:eastAsia="Century Schoolbook"/>
        </w:rPr>
        <w:t>Schizer</w:t>
      </w:r>
      <w:proofErr w:type="spellEnd"/>
      <w:r w:rsidRPr="009F549F">
        <w:rPr>
          <w:rFonts w:eastAsia="Century Schoolbook"/>
        </w:rPr>
        <w:t xml:space="preserve">, </w:t>
      </w:r>
      <w:r w:rsidRPr="009F549F">
        <w:rPr>
          <w:rFonts w:eastAsia="Century Schoolbook"/>
          <w:i/>
        </w:rPr>
        <w:t xml:space="preserve">supra </w:t>
      </w:r>
      <w:r w:rsidRPr="009F549F">
        <w:rPr>
          <w:rFonts w:eastAsia="Century Schoolbook"/>
        </w:rPr>
        <w:t xml:space="preserve">note </w:t>
      </w:r>
      <w:r w:rsidRPr="00036097">
        <w:rPr>
          <w:rFonts w:eastAsia="Century Schoolbook"/>
        </w:rPr>
        <w:fldChar w:fldCharType="begin"/>
      </w:r>
      <w:r w:rsidRPr="00036097">
        <w:rPr>
          <w:rFonts w:eastAsia="Century Schoolbook"/>
        </w:rPr>
        <w:instrText xml:space="preserve"> NOTEREF _Ref115037095 \h  \* MERGEFORMAT </w:instrText>
      </w:r>
      <w:r w:rsidRPr="00036097">
        <w:rPr>
          <w:rFonts w:eastAsia="Century Schoolbook"/>
        </w:rPr>
      </w:r>
      <w:r w:rsidRPr="00036097">
        <w:rPr>
          <w:rFonts w:eastAsia="Century Schoolbook"/>
        </w:rPr>
        <w:fldChar w:fldCharType="separate"/>
      </w:r>
      <w:r>
        <w:rPr>
          <w:rFonts w:eastAsia="Century Schoolbook"/>
        </w:rPr>
        <w:t>38</w:t>
      </w:r>
      <w:r w:rsidRPr="00036097">
        <w:rPr>
          <w:rFonts w:eastAsia="Century Schoolbook"/>
        </w:rPr>
        <w:fldChar w:fldCharType="end"/>
      </w:r>
      <w:r w:rsidRPr="00036097">
        <w:rPr>
          <w:rFonts w:eastAsia="Century Schoolbook"/>
        </w:rPr>
        <w:t>,</w:t>
      </w:r>
      <w:r w:rsidRPr="009F549F">
        <w:rPr>
          <w:rFonts w:eastAsia="Century Schoolbook"/>
        </w:rPr>
        <w:t xml:space="preserve"> at 1560–61 (same).</w:t>
      </w:r>
      <w:r>
        <w:rPr>
          <w:rFonts w:eastAsia="Century Schoolbook"/>
        </w:rPr>
        <w:t xml:space="preserve"> </w:t>
      </w:r>
      <w:r w:rsidRPr="00C43C1B">
        <w:rPr>
          <w:rFonts w:eastAsia="Century Schoolbook"/>
        </w:rPr>
        <w:t xml:space="preserve">Note that the political optionality problem can be mitigated by approaches that make use of ex ante valuation. However, ex ante valuation will tend to undervalue the fastest growing assets (which are disproportionately owned by the wealthiest), so </w:t>
      </w:r>
      <w:r w:rsidRPr="00036097">
        <w:rPr>
          <w:rFonts w:eastAsia="Century Schoolbook"/>
        </w:rPr>
        <w:t>it</w:t>
      </w:r>
      <w:r w:rsidRPr="00C43C1B">
        <w:rPr>
          <w:rFonts w:eastAsia="Century Schoolbook"/>
        </w:rPr>
        <w:t xml:space="preserve"> does not eliminate political optionality problems.</w:t>
      </w:r>
    </w:p>
  </w:footnote>
  <w:footnote w:id="138">
    <w:p w14:paraId="49A064D8" w14:textId="0486405B" w:rsidR="006E30B5" w:rsidRPr="009F549F" w:rsidRDefault="006E30B5">
      <w:pPr>
        <w:rPr>
          <w:rFonts w:eastAsia="Century Schoolbook"/>
        </w:rPr>
      </w:pPr>
      <w:r w:rsidRPr="009F549F">
        <w:rPr>
          <w:vertAlign w:val="superscript"/>
        </w:rPr>
        <w:footnoteRef/>
      </w:r>
      <w:r w:rsidRPr="009F549F">
        <w:rPr>
          <w:rFonts w:eastAsia="Century Schoolbook"/>
          <w:i/>
        </w:rPr>
        <w:t xml:space="preserve"> See generally</w:t>
      </w:r>
      <w:r w:rsidRPr="009F549F">
        <w:rPr>
          <w:rFonts w:eastAsia="Century Schoolbook"/>
        </w:rPr>
        <w:t xml:space="preserve"> </w:t>
      </w:r>
      <w:r w:rsidRPr="009F549F">
        <w:rPr>
          <w:rFonts w:eastAsia="Century Schoolbook"/>
          <w:smallCaps/>
        </w:rPr>
        <w:t xml:space="preserve">Michael J. </w:t>
      </w:r>
      <w:proofErr w:type="spellStart"/>
      <w:r w:rsidRPr="009F549F">
        <w:rPr>
          <w:rFonts w:eastAsia="Century Schoolbook"/>
          <w:smallCaps/>
        </w:rPr>
        <w:t>Graetz</w:t>
      </w:r>
      <w:proofErr w:type="spellEnd"/>
      <w:r w:rsidRPr="009F549F">
        <w:rPr>
          <w:rFonts w:eastAsia="Century Schoolbook"/>
          <w:smallCaps/>
        </w:rPr>
        <w:t xml:space="preserve"> &amp; Ian Shapiro, Death by a Thousand Cuts: The Fight Over Taxing Inherited Wealth</w:t>
      </w:r>
      <w:r w:rsidRPr="009F549F">
        <w:rPr>
          <w:rFonts w:eastAsia="Century Schoolbook"/>
        </w:rPr>
        <w:t xml:space="preserve"> (2006</w:t>
      </w:r>
      <w:r w:rsidRPr="00036097">
        <w:rPr>
          <w:rFonts w:eastAsia="Century Schoolbook"/>
        </w:rPr>
        <w:t>) (describing the multiyear campaign to repeal the estate tax</w:t>
      </w:r>
      <w:r w:rsidRPr="009F549F">
        <w:rPr>
          <w:rFonts w:eastAsia="Century Schoolbook"/>
        </w:rPr>
        <w:t>).</w:t>
      </w:r>
    </w:p>
  </w:footnote>
  <w:footnote w:id="139">
    <w:p w14:paraId="29498617" w14:textId="1CE0E25F" w:rsidR="006E30B5" w:rsidRPr="009F549F" w:rsidRDefault="006E30B5">
      <w:pPr>
        <w:rPr>
          <w:rFonts w:eastAsia="Century Schoolbook"/>
        </w:rPr>
      </w:pPr>
      <w:r w:rsidRPr="009F549F">
        <w:rPr>
          <w:vertAlign w:val="superscript"/>
        </w:rPr>
        <w:footnoteRef/>
      </w:r>
      <w:r w:rsidRPr="009F549F">
        <w:rPr>
          <w:rFonts w:eastAsia="Century Schoolbook"/>
        </w:rPr>
        <w:t xml:space="preserve"> </w:t>
      </w:r>
      <w:proofErr w:type="spellStart"/>
      <w:r w:rsidRPr="009F549F">
        <w:rPr>
          <w:rFonts w:eastAsia="Century Schoolbook"/>
        </w:rPr>
        <w:t>Glogower</w:t>
      </w:r>
      <w:proofErr w:type="spellEnd"/>
      <w:r w:rsidRPr="009F549F">
        <w:rPr>
          <w:rFonts w:eastAsia="Century Schoolbook"/>
        </w:rPr>
        <w:t xml:space="preserve">, </w:t>
      </w:r>
      <w:r w:rsidRPr="009F549F">
        <w:rPr>
          <w:rFonts w:eastAsia="Century Schoolbook"/>
          <w:i/>
        </w:rPr>
        <w:t>supra</w:t>
      </w:r>
      <w:r w:rsidRPr="009F549F">
        <w:rPr>
          <w:rFonts w:eastAsia="Century Schoolbook"/>
        </w:rPr>
        <w:t xml:space="preserve"> note </w:t>
      </w:r>
      <w:r w:rsidRPr="00036097">
        <w:rPr>
          <w:rFonts w:eastAsia="Century Schoolbook"/>
        </w:rPr>
        <w:fldChar w:fldCharType="begin"/>
      </w:r>
      <w:r w:rsidRPr="00036097">
        <w:rPr>
          <w:rFonts w:eastAsia="Century Schoolbook"/>
        </w:rPr>
        <w:instrText xml:space="preserve"> NOTEREF _Ref115603608 \h  \* MERGEFORMAT </w:instrText>
      </w:r>
      <w:r w:rsidRPr="00036097">
        <w:rPr>
          <w:rFonts w:eastAsia="Century Schoolbook"/>
        </w:rPr>
      </w:r>
      <w:r w:rsidRPr="00036097">
        <w:rPr>
          <w:rFonts w:eastAsia="Century Schoolbook"/>
        </w:rPr>
        <w:fldChar w:fldCharType="separate"/>
      </w:r>
      <w:r>
        <w:rPr>
          <w:rFonts w:eastAsia="Century Schoolbook"/>
        </w:rPr>
        <w:t>64</w:t>
      </w:r>
      <w:r w:rsidRPr="00036097">
        <w:rPr>
          <w:rFonts w:eastAsia="Century Schoolbook"/>
        </w:rPr>
        <w:fldChar w:fldCharType="end"/>
      </w:r>
      <w:r w:rsidRPr="00036097">
        <w:rPr>
          <w:rFonts w:eastAsia="Century Schoolbook"/>
        </w:rPr>
        <w:t>,</w:t>
      </w:r>
      <w:r w:rsidRPr="009F549F">
        <w:rPr>
          <w:rFonts w:eastAsia="Century Schoolbook"/>
        </w:rPr>
        <w:t xml:space="preserve"> at 139; </w:t>
      </w:r>
      <w:r w:rsidRPr="009F549F">
        <w:rPr>
          <w:rFonts w:eastAsia="Century Schoolbook"/>
          <w:i/>
        </w:rPr>
        <w:t>see also</w:t>
      </w:r>
      <w:r w:rsidRPr="009F549F">
        <w:rPr>
          <w:rFonts w:eastAsia="Century Schoolbook"/>
        </w:rPr>
        <w:t xml:space="preserve"> Mark P. </w:t>
      </w:r>
      <w:proofErr w:type="spellStart"/>
      <w:r w:rsidRPr="009F549F">
        <w:rPr>
          <w:rFonts w:eastAsia="Century Schoolbook"/>
        </w:rPr>
        <w:t>Gergen</w:t>
      </w:r>
      <w:proofErr w:type="spellEnd"/>
      <w:r w:rsidRPr="009F549F">
        <w:rPr>
          <w:rFonts w:eastAsia="Century Schoolbook"/>
        </w:rPr>
        <w:t xml:space="preserve">, </w:t>
      </w:r>
      <w:r w:rsidRPr="009F549F">
        <w:rPr>
          <w:rFonts w:eastAsia="Century Schoolbook"/>
          <w:i/>
        </w:rPr>
        <w:t>The Effects of Price Volatility and Strategic Trading Under Realization, Expected Return and Retrospective Taxation</w:t>
      </w:r>
      <w:r w:rsidRPr="009F549F">
        <w:rPr>
          <w:rFonts w:eastAsia="Century Schoolbook"/>
        </w:rPr>
        <w:t xml:space="preserve">, 49 </w:t>
      </w:r>
      <w:r w:rsidRPr="009F549F">
        <w:rPr>
          <w:rFonts w:eastAsia="Century Schoolbook"/>
          <w:smallCaps/>
        </w:rPr>
        <w:t>Tax L. Rev.</w:t>
      </w:r>
      <w:r w:rsidRPr="009F549F">
        <w:rPr>
          <w:rFonts w:eastAsia="Century Schoolbook"/>
        </w:rPr>
        <w:t xml:space="preserve"> 209, </w:t>
      </w:r>
      <w:r w:rsidRPr="00036097">
        <w:rPr>
          <w:rFonts w:eastAsia="Century Schoolbook"/>
        </w:rPr>
        <w:t>214</w:t>
      </w:r>
      <w:r w:rsidRPr="009F549F">
        <w:rPr>
          <w:rFonts w:eastAsia="Century Schoolbook"/>
        </w:rPr>
        <w:t xml:space="preserve"> (1994</w:t>
      </w:r>
      <w:r w:rsidRPr="00036097">
        <w:rPr>
          <w:rFonts w:eastAsia="Century Schoolbook"/>
        </w:rPr>
        <w:t>) (explaining how a move to retrospective taxation does not resolve the issue of strategic trading alone</w:t>
      </w:r>
      <w:r w:rsidRPr="009F549F">
        <w:rPr>
          <w:rFonts w:eastAsia="Century Schoolbook"/>
        </w:rPr>
        <w:t xml:space="preserve">); Thomas L. Evans, </w:t>
      </w:r>
      <w:r w:rsidRPr="009F549F">
        <w:rPr>
          <w:rFonts w:eastAsia="Century Schoolbook"/>
          <w:i/>
        </w:rPr>
        <w:t>The Taxation of Multi-Period Projects: An Analysis of Competing Models</w:t>
      </w:r>
      <w:r w:rsidRPr="009F549F">
        <w:rPr>
          <w:rFonts w:eastAsia="Century Schoolbook"/>
        </w:rPr>
        <w:t xml:space="preserve">, 69 </w:t>
      </w:r>
      <w:r w:rsidRPr="009F549F">
        <w:rPr>
          <w:rFonts w:eastAsia="Century Schoolbook"/>
          <w:smallCaps/>
        </w:rPr>
        <w:t>Tex. L. Rev</w:t>
      </w:r>
      <w:r w:rsidRPr="009F549F">
        <w:rPr>
          <w:rFonts w:eastAsia="Century Schoolbook"/>
        </w:rPr>
        <w:t>. 1109, 1150–55 (1991</w:t>
      </w:r>
      <w:r w:rsidRPr="00036097">
        <w:rPr>
          <w:rFonts w:eastAsia="Century Schoolbook"/>
        </w:rPr>
        <w:t>) (discussing how tax avoidance problems cannot be resolved completely by a rate of return model</w:t>
      </w:r>
      <w:r w:rsidRPr="009F549F">
        <w:rPr>
          <w:rFonts w:eastAsia="Century Schoolbook"/>
        </w:rPr>
        <w:t>).</w:t>
      </w:r>
    </w:p>
  </w:footnote>
  <w:footnote w:id="140">
    <w:p w14:paraId="04A9EF1C" w14:textId="49D1C7AE" w:rsidR="006E30B5" w:rsidRPr="009F549F" w:rsidRDefault="006E30B5">
      <w:pPr>
        <w:rPr>
          <w:rFonts w:eastAsia="Century Schoolbook"/>
        </w:rPr>
      </w:pPr>
      <w:r w:rsidRPr="009F549F">
        <w:rPr>
          <w:vertAlign w:val="superscript"/>
        </w:rPr>
        <w:footnoteRef/>
      </w:r>
      <w:r w:rsidRPr="009F549F">
        <w:rPr>
          <w:rFonts w:eastAsia="Century Schoolbook"/>
        </w:rPr>
        <w:t xml:space="preserve"> </w:t>
      </w:r>
      <w:proofErr w:type="spellStart"/>
      <w:r w:rsidRPr="009F549F">
        <w:rPr>
          <w:rFonts w:eastAsia="Century Schoolbook"/>
        </w:rPr>
        <w:t>Schizer</w:t>
      </w:r>
      <w:proofErr w:type="spellEnd"/>
      <w:r w:rsidRPr="009F549F">
        <w:rPr>
          <w:rFonts w:eastAsia="Century Schoolbook"/>
        </w:rPr>
        <w:t xml:space="preserve">, </w:t>
      </w:r>
      <w:r w:rsidRPr="009F549F">
        <w:rPr>
          <w:rFonts w:eastAsia="Century Schoolbook"/>
          <w:i/>
        </w:rPr>
        <w:t xml:space="preserve">supra </w:t>
      </w:r>
      <w:r w:rsidRPr="009F549F">
        <w:rPr>
          <w:rFonts w:eastAsia="Century Schoolbook"/>
        </w:rPr>
        <w:t xml:space="preserve">note </w:t>
      </w:r>
      <w:r w:rsidRPr="00036097">
        <w:rPr>
          <w:rFonts w:eastAsia="Century Schoolbook"/>
        </w:rPr>
        <w:fldChar w:fldCharType="begin"/>
      </w:r>
      <w:r w:rsidRPr="00036097">
        <w:rPr>
          <w:rFonts w:eastAsia="Century Schoolbook"/>
        </w:rPr>
        <w:instrText xml:space="preserve"> NOTEREF _Ref115037095 \h  \* MERGEFORMAT </w:instrText>
      </w:r>
      <w:r w:rsidRPr="00036097">
        <w:rPr>
          <w:rFonts w:eastAsia="Century Schoolbook"/>
        </w:rPr>
      </w:r>
      <w:r w:rsidRPr="00036097">
        <w:rPr>
          <w:rFonts w:eastAsia="Century Schoolbook"/>
        </w:rPr>
        <w:fldChar w:fldCharType="separate"/>
      </w:r>
      <w:r>
        <w:rPr>
          <w:rFonts w:eastAsia="Century Schoolbook"/>
        </w:rPr>
        <w:t>38</w:t>
      </w:r>
      <w:r w:rsidRPr="00036097">
        <w:rPr>
          <w:rFonts w:eastAsia="Century Schoolbook"/>
        </w:rPr>
        <w:fldChar w:fldCharType="end"/>
      </w:r>
      <w:r w:rsidRPr="00036097">
        <w:rPr>
          <w:rFonts w:eastAsia="Century Schoolbook"/>
        </w:rPr>
        <w:t>,</w:t>
      </w:r>
      <w:r w:rsidRPr="009F549F">
        <w:rPr>
          <w:rFonts w:eastAsia="Century Schoolbook"/>
        </w:rPr>
        <w:t xml:space="preserve"> at 1597–98.</w:t>
      </w:r>
      <w:r w:rsidRPr="00036097">
        <w:rPr>
          <w:rFonts w:eastAsia="Century Schoolbook"/>
        </w:rPr>
        <w:t xml:space="preserve"> </w:t>
      </w:r>
    </w:p>
  </w:footnote>
  <w:footnote w:id="141">
    <w:p w14:paraId="0646B4FB" w14:textId="0D293F64" w:rsidR="006E30B5" w:rsidRPr="009F549F" w:rsidRDefault="006E30B5">
      <w:pPr>
        <w:rPr>
          <w:rFonts w:eastAsia="Century Schoolbook"/>
        </w:rPr>
      </w:pPr>
      <w:r w:rsidRPr="009F549F">
        <w:rPr>
          <w:vertAlign w:val="superscript"/>
        </w:rPr>
        <w:footnoteRef/>
      </w:r>
      <w:r w:rsidRPr="00036097">
        <w:rPr>
          <w:rFonts w:eastAsia="Century Schoolbook"/>
        </w:rPr>
        <w:t xml:space="preserve"> </w:t>
      </w:r>
      <w:r w:rsidRPr="00036097">
        <w:rPr>
          <w:rFonts w:eastAsia="Century Schoolbook"/>
          <w:i/>
          <w:iCs/>
        </w:rPr>
        <w:t>See</w:t>
      </w:r>
      <w:r w:rsidRPr="009F549F">
        <w:rPr>
          <w:rFonts w:eastAsia="Century Schoolbook"/>
          <w:i/>
        </w:rPr>
        <w:t xml:space="preserve"> </w:t>
      </w:r>
      <w:r w:rsidRPr="009F549F">
        <w:rPr>
          <w:rFonts w:eastAsia="Century Schoolbook"/>
        </w:rPr>
        <w:t xml:space="preserve">Auerbach &amp; Bradford, </w:t>
      </w:r>
      <w:r w:rsidRPr="009F549F">
        <w:rPr>
          <w:rFonts w:eastAsia="Century Schoolbook"/>
          <w:i/>
        </w:rPr>
        <w:t xml:space="preserve">supra </w:t>
      </w:r>
      <w:r w:rsidRPr="009F549F">
        <w:rPr>
          <w:rFonts w:eastAsia="Century Schoolbook"/>
        </w:rPr>
        <w:t xml:space="preserve">note </w:t>
      </w:r>
      <w:r w:rsidRPr="00036097">
        <w:rPr>
          <w:rFonts w:eastAsia="Century Schoolbook"/>
        </w:rPr>
        <w:fldChar w:fldCharType="begin"/>
      </w:r>
      <w:r w:rsidRPr="00036097">
        <w:rPr>
          <w:rFonts w:eastAsia="Century Schoolbook"/>
        </w:rPr>
        <w:instrText xml:space="preserve"> NOTEREF _Ref115645220 \h  \* MERGEFORMAT </w:instrText>
      </w:r>
      <w:r w:rsidRPr="00036097">
        <w:rPr>
          <w:rFonts w:eastAsia="Century Schoolbook"/>
        </w:rPr>
      </w:r>
      <w:r w:rsidRPr="00036097">
        <w:rPr>
          <w:rFonts w:eastAsia="Century Schoolbook"/>
        </w:rPr>
        <w:fldChar w:fldCharType="separate"/>
      </w:r>
      <w:r>
        <w:rPr>
          <w:rFonts w:eastAsia="Century Schoolbook"/>
        </w:rPr>
        <w:t>52</w:t>
      </w:r>
      <w:r w:rsidRPr="00036097">
        <w:rPr>
          <w:rFonts w:eastAsia="Century Schoolbook"/>
        </w:rPr>
        <w:fldChar w:fldCharType="end"/>
      </w:r>
      <w:r w:rsidRPr="00036097">
        <w:rPr>
          <w:rFonts w:eastAsia="Century Schoolbook"/>
        </w:rPr>
        <w:t>,</w:t>
      </w:r>
      <w:r w:rsidRPr="009F549F">
        <w:rPr>
          <w:rFonts w:eastAsia="Century Schoolbook"/>
        </w:rPr>
        <w:t xml:space="preserve"> at 959–63</w:t>
      </w:r>
      <w:r w:rsidRPr="00036097">
        <w:rPr>
          <w:rFonts w:eastAsia="Century Schoolbook"/>
        </w:rPr>
        <w:t xml:space="preserve"> (describing the generalized cash-flow taxation model). </w:t>
      </w:r>
    </w:p>
  </w:footnote>
  <w:footnote w:id="142">
    <w:p w14:paraId="6199B050" w14:textId="4DDDD8A8" w:rsidR="006E30B5" w:rsidRPr="009F549F" w:rsidRDefault="006E30B5">
      <w:pPr>
        <w:rPr>
          <w:rFonts w:eastAsia="Century Schoolbook"/>
        </w:rPr>
      </w:pPr>
      <w:r w:rsidRPr="009F549F">
        <w:rPr>
          <w:vertAlign w:val="superscript"/>
        </w:rPr>
        <w:footnoteRef/>
      </w:r>
      <w:r w:rsidRPr="009F549F">
        <w:rPr>
          <w:rFonts w:eastAsia="Century Schoolbook"/>
        </w:rPr>
        <w:t xml:space="preserve"> </w:t>
      </w:r>
      <w:r w:rsidRPr="009F549F">
        <w:rPr>
          <w:rFonts w:eastAsia="Century Schoolbook"/>
          <w:i/>
        </w:rPr>
        <w:t>Id.</w:t>
      </w:r>
      <w:r w:rsidRPr="009F549F">
        <w:rPr>
          <w:rFonts w:eastAsia="Century Schoolbook"/>
        </w:rPr>
        <w:t xml:space="preserve"> at 966.</w:t>
      </w:r>
      <w:r w:rsidRPr="00036097">
        <w:rPr>
          <w:rFonts w:eastAsia="Century Schoolbook"/>
        </w:rPr>
        <w:t xml:space="preserve"> </w:t>
      </w:r>
    </w:p>
  </w:footnote>
  <w:footnote w:id="143">
    <w:p w14:paraId="600DD091" w14:textId="77777777" w:rsidR="006E30B5" w:rsidRPr="009F549F" w:rsidRDefault="006E30B5">
      <w:pPr>
        <w:rPr>
          <w:rFonts w:eastAsia="Century Schoolbook"/>
        </w:rPr>
      </w:pPr>
      <w:r w:rsidRPr="009F549F">
        <w:rPr>
          <w:vertAlign w:val="superscript"/>
        </w:rPr>
        <w:footnoteRef/>
      </w:r>
      <w:r w:rsidRPr="009F549F">
        <w:rPr>
          <w:rFonts w:eastAsia="Century Schoolbook"/>
        </w:rPr>
        <w:t xml:space="preserve"> </w:t>
      </w:r>
      <w:r w:rsidRPr="009F549F">
        <w:rPr>
          <w:rFonts w:eastAsia="Century Schoolbook"/>
          <w:i/>
        </w:rPr>
        <w:t>Id.</w:t>
      </w:r>
      <w:r w:rsidRPr="009F549F">
        <w:rPr>
          <w:rFonts w:eastAsia="Century Schoolbook"/>
        </w:rPr>
        <w:t xml:space="preserve"> at 963–64.</w:t>
      </w:r>
    </w:p>
  </w:footnote>
  <w:footnote w:id="144">
    <w:p w14:paraId="0D072CE9" w14:textId="77777777" w:rsidR="006E30B5" w:rsidRPr="009F549F" w:rsidRDefault="006E30B5">
      <w:pPr>
        <w:rPr>
          <w:rFonts w:eastAsia="Century Schoolbook"/>
        </w:rPr>
      </w:pPr>
      <w:r w:rsidRPr="009F549F">
        <w:rPr>
          <w:vertAlign w:val="superscript"/>
        </w:rPr>
        <w:footnoteRef/>
      </w:r>
      <w:r w:rsidRPr="009F549F">
        <w:rPr>
          <w:rFonts w:eastAsia="Century Schoolbook"/>
        </w:rPr>
        <w:t xml:space="preserve"> </w:t>
      </w:r>
      <w:r w:rsidRPr="009F549F">
        <w:rPr>
          <w:rFonts w:eastAsia="Century Schoolbook"/>
          <w:i/>
        </w:rPr>
        <w:t>Id.</w:t>
      </w:r>
      <w:r w:rsidRPr="009F549F">
        <w:rPr>
          <w:rFonts w:eastAsia="Century Schoolbook"/>
        </w:rPr>
        <w:t xml:space="preserve"> at 966.</w:t>
      </w:r>
    </w:p>
  </w:footnote>
  <w:footnote w:id="145">
    <w:p w14:paraId="67529F23" w14:textId="457EB089" w:rsidR="006E30B5" w:rsidRPr="009F549F" w:rsidRDefault="006E30B5">
      <w:pPr>
        <w:rPr>
          <w:rFonts w:eastAsia="Century Schoolbook"/>
        </w:rPr>
      </w:pPr>
      <w:r w:rsidRPr="009F549F">
        <w:rPr>
          <w:vertAlign w:val="superscript"/>
        </w:rPr>
        <w:footnoteRef/>
      </w:r>
      <w:r w:rsidRPr="009F549F">
        <w:rPr>
          <w:rFonts w:eastAsia="Century Schoolbook"/>
        </w:rPr>
        <w:t xml:space="preserve"> </w:t>
      </w:r>
      <w:r w:rsidRPr="00036097">
        <w:rPr>
          <w:rFonts w:eastAsia="Century Schoolbook"/>
          <w:i/>
          <w:iCs/>
        </w:rPr>
        <w:t xml:space="preserve"> See</w:t>
      </w:r>
      <w:r w:rsidRPr="00036097">
        <w:rPr>
          <w:rFonts w:eastAsia="Century Schoolbook"/>
          <w:i/>
        </w:rPr>
        <w:t xml:space="preserve"> </w:t>
      </w:r>
      <w:r w:rsidRPr="00036097">
        <w:rPr>
          <w:rFonts w:eastAsia="Century Schoolbook"/>
          <w:i/>
          <w:iCs/>
        </w:rPr>
        <w:t>id.</w:t>
      </w:r>
      <w:r w:rsidRPr="009F549F">
        <w:rPr>
          <w:rFonts w:eastAsia="Century Schoolbook"/>
        </w:rPr>
        <w:t xml:space="preserve"> at 964–65; David F. Bradford, </w:t>
      </w:r>
      <w:r w:rsidRPr="009F549F">
        <w:rPr>
          <w:rFonts w:eastAsia="Century Schoolbook"/>
          <w:i/>
        </w:rPr>
        <w:t>Fixing Realization Accounting: Symmetry, Consistency and Correctness in the Taxation of Financial Instruments</w:t>
      </w:r>
      <w:r w:rsidRPr="009F549F">
        <w:rPr>
          <w:rFonts w:eastAsia="Century Schoolbook"/>
        </w:rPr>
        <w:t xml:space="preserve">, 50 </w:t>
      </w:r>
      <w:r w:rsidRPr="009F549F">
        <w:rPr>
          <w:rFonts w:eastAsia="Century Schoolbook"/>
          <w:smallCaps/>
        </w:rPr>
        <w:t>Tax L. Rev.</w:t>
      </w:r>
      <w:r w:rsidRPr="009F549F">
        <w:rPr>
          <w:rFonts w:eastAsia="Century Schoolbook"/>
        </w:rPr>
        <w:t xml:space="preserve"> 731, 763 (1995). An in-depth but accessible explanation is </w:t>
      </w:r>
      <w:proofErr w:type="spellStart"/>
      <w:r w:rsidRPr="009F549F">
        <w:rPr>
          <w:rFonts w:eastAsia="Century Schoolbook"/>
        </w:rPr>
        <w:t>Weisbach</w:t>
      </w:r>
      <w:proofErr w:type="spellEnd"/>
      <w:r w:rsidRPr="009F549F">
        <w:rPr>
          <w:rFonts w:eastAsia="Century Schoolbook"/>
        </w:rPr>
        <w:t xml:space="preserve">, </w:t>
      </w:r>
      <w:r w:rsidRPr="009F549F">
        <w:rPr>
          <w:rFonts w:eastAsia="Century Schoolbook"/>
          <w:i/>
        </w:rPr>
        <w:t>supra</w:t>
      </w:r>
      <w:r w:rsidRPr="009F549F">
        <w:rPr>
          <w:rFonts w:eastAsia="Century Schoolbook"/>
        </w:rPr>
        <w:t xml:space="preserve"> note </w:t>
      </w:r>
      <w:r w:rsidRPr="00036097">
        <w:rPr>
          <w:rFonts w:eastAsia="Century Schoolbook"/>
        </w:rPr>
        <w:fldChar w:fldCharType="begin"/>
      </w:r>
      <w:r w:rsidRPr="00036097">
        <w:rPr>
          <w:rFonts w:eastAsia="Century Schoolbook"/>
        </w:rPr>
        <w:instrText xml:space="preserve"> NOTEREF _Ref115729212 \h  \* MERGEFORMAT </w:instrText>
      </w:r>
      <w:r w:rsidRPr="00036097">
        <w:rPr>
          <w:rFonts w:eastAsia="Century Schoolbook"/>
        </w:rPr>
      </w:r>
      <w:r w:rsidRPr="00036097">
        <w:rPr>
          <w:rFonts w:eastAsia="Century Schoolbook"/>
        </w:rPr>
        <w:fldChar w:fldCharType="separate"/>
      </w:r>
      <w:r>
        <w:rPr>
          <w:rFonts w:eastAsia="Century Schoolbook"/>
        </w:rPr>
        <w:t>35</w:t>
      </w:r>
      <w:r w:rsidRPr="00036097">
        <w:rPr>
          <w:rFonts w:eastAsia="Century Schoolbook"/>
        </w:rPr>
        <w:fldChar w:fldCharType="end"/>
      </w:r>
      <w:r w:rsidRPr="00036097">
        <w:rPr>
          <w:rFonts w:eastAsia="Century Schoolbook"/>
        </w:rPr>
        <w:t>,</w:t>
      </w:r>
      <w:r w:rsidRPr="009F549F">
        <w:rPr>
          <w:rFonts w:eastAsia="Century Schoolbook"/>
        </w:rPr>
        <w:t xml:space="preserve"> at 8–21.</w:t>
      </w:r>
      <w:r w:rsidRPr="00036097">
        <w:rPr>
          <w:rFonts w:eastAsia="Century Schoolbook"/>
        </w:rPr>
        <w:t xml:space="preserve"> </w:t>
      </w:r>
    </w:p>
  </w:footnote>
  <w:footnote w:id="146">
    <w:p w14:paraId="67B00044" w14:textId="5271A696" w:rsidR="006E30B5" w:rsidRPr="009F549F" w:rsidRDefault="006E30B5">
      <w:pPr>
        <w:rPr>
          <w:rFonts w:eastAsia="Century Schoolbook"/>
        </w:rPr>
      </w:pPr>
      <w:r w:rsidRPr="009F549F">
        <w:rPr>
          <w:vertAlign w:val="superscript"/>
        </w:rPr>
        <w:footnoteRef/>
      </w:r>
      <w:r w:rsidRPr="00036097">
        <w:rPr>
          <w:rFonts w:eastAsia="Century Schoolbook"/>
        </w:rPr>
        <w:t xml:space="preserve"> </w:t>
      </w:r>
      <w:r w:rsidRPr="00036097">
        <w:rPr>
          <w:rFonts w:eastAsia="Century Schoolbook"/>
          <w:i/>
          <w:iCs/>
        </w:rPr>
        <w:t>See</w:t>
      </w:r>
      <w:r w:rsidRPr="009F549F">
        <w:rPr>
          <w:rFonts w:eastAsia="Century Schoolbook"/>
        </w:rPr>
        <w:t xml:space="preserve"> Joseph Bankman &amp; Thomas Griffith,</w:t>
      </w:r>
      <w:r w:rsidRPr="009F549F">
        <w:rPr>
          <w:rFonts w:eastAsia="Century Schoolbook"/>
          <w:i/>
        </w:rPr>
        <w:t xml:space="preserve"> Is the Debate Between an Income Tax and a Consumption Tax a Debate About Risk? </w:t>
      </w:r>
      <w:r w:rsidRPr="009F549F">
        <w:rPr>
          <w:rFonts w:eastAsia="Century Schoolbook"/>
          <w:i/>
        </w:rPr>
        <w:t>Does it Matter?</w:t>
      </w:r>
      <w:r w:rsidRPr="009F549F">
        <w:rPr>
          <w:rFonts w:eastAsia="Century Schoolbook"/>
        </w:rPr>
        <w:t xml:space="preserve">, 47 </w:t>
      </w:r>
      <w:r w:rsidRPr="009F549F">
        <w:rPr>
          <w:rFonts w:eastAsia="Century Schoolbook"/>
          <w:smallCaps/>
        </w:rPr>
        <w:t>Tax L. Rev</w:t>
      </w:r>
      <w:r w:rsidRPr="009F549F">
        <w:rPr>
          <w:rFonts w:eastAsia="Century Schoolbook"/>
        </w:rPr>
        <w:t xml:space="preserve">. 377, 396–400 (1992); Alvin C. Warren, Jr., </w:t>
      </w:r>
      <w:r w:rsidRPr="009F549F">
        <w:rPr>
          <w:rFonts w:eastAsia="Century Schoolbook"/>
          <w:i/>
        </w:rPr>
        <w:t>Financial Contract Innovation and Income Tax Policy</w:t>
      </w:r>
      <w:r w:rsidRPr="009F549F">
        <w:rPr>
          <w:rFonts w:eastAsia="Century Schoolbook"/>
        </w:rPr>
        <w:t xml:space="preserve">, 107 </w:t>
      </w:r>
      <w:r w:rsidRPr="009F549F">
        <w:rPr>
          <w:rFonts w:eastAsia="Century Schoolbook"/>
          <w:smallCaps/>
        </w:rPr>
        <w:t>Harv. L. Rev</w:t>
      </w:r>
      <w:r w:rsidRPr="009F549F">
        <w:rPr>
          <w:rFonts w:eastAsia="Century Schoolbook"/>
        </w:rPr>
        <w:t xml:space="preserve">. 460, 482 n.89 (1993); </w:t>
      </w:r>
      <w:proofErr w:type="spellStart"/>
      <w:r w:rsidRPr="009F549F">
        <w:rPr>
          <w:rFonts w:eastAsia="Century Schoolbook"/>
        </w:rPr>
        <w:t>Weisbach</w:t>
      </w:r>
      <w:proofErr w:type="spellEnd"/>
      <w:r w:rsidRPr="009F549F">
        <w:rPr>
          <w:rFonts w:eastAsia="Century Schoolbook"/>
        </w:rPr>
        <w:t xml:space="preserve">, </w:t>
      </w:r>
      <w:r w:rsidRPr="009F549F">
        <w:rPr>
          <w:rFonts w:eastAsia="Century Schoolbook"/>
          <w:i/>
        </w:rPr>
        <w:t>supra</w:t>
      </w:r>
      <w:r w:rsidRPr="009F549F">
        <w:rPr>
          <w:rFonts w:eastAsia="Century Schoolbook"/>
        </w:rPr>
        <w:t xml:space="preserve"> note </w:t>
      </w:r>
      <w:r w:rsidRPr="00036097">
        <w:rPr>
          <w:rFonts w:eastAsia="Century Schoolbook"/>
        </w:rPr>
        <w:fldChar w:fldCharType="begin"/>
      </w:r>
      <w:r w:rsidRPr="00036097">
        <w:rPr>
          <w:rFonts w:eastAsia="Century Schoolbook"/>
        </w:rPr>
        <w:instrText xml:space="preserve"> NOTEREF _Ref115729212 \h  \* MERGEFORMAT </w:instrText>
      </w:r>
      <w:r w:rsidRPr="00036097">
        <w:rPr>
          <w:rFonts w:eastAsia="Century Schoolbook"/>
        </w:rPr>
      </w:r>
      <w:r w:rsidRPr="00036097">
        <w:rPr>
          <w:rFonts w:eastAsia="Century Schoolbook"/>
        </w:rPr>
        <w:fldChar w:fldCharType="separate"/>
      </w:r>
      <w:r>
        <w:rPr>
          <w:rFonts w:eastAsia="Century Schoolbook"/>
        </w:rPr>
        <w:t>35</w:t>
      </w:r>
      <w:r w:rsidRPr="00036097">
        <w:rPr>
          <w:rFonts w:eastAsia="Century Schoolbook"/>
        </w:rPr>
        <w:fldChar w:fldCharType="end"/>
      </w:r>
      <w:r w:rsidRPr="00036097">
        <w:rPr>
          <w:rFonts w:eastAsia="Century Schoolbook"/>
        </w:rPr>
        <w:t>,</w:t>
      </w:r>
      <w:r w:rsidRPr="009F549F">
        <w:rPr>
          <w:rFonts w:eastAsia="Century Schoolbook"/>
        </w:rPr>
        <w:t xml:space="preserve"> at 33–34.</w:t>
      </w:r>
    </w:p>
  </w:footnote>
  <w:footnote w:id="147">
    <w:p w14:paraId="660728E3" w14:textId="3236284B" w:rsidR="006E30B5" w:rsidRPr="009F549F" w:rsidRDefault="006E30B5">
      <w:pPr>
        <w:rPr>
          <w:rFonts w:eastAsia="Century Schoolbook"/>
        </w:rPr>
      </w:pPr>
      <w:r w:rsidRPr="009F549F">
        <w:rPr>
          <w:vertAlign w:val="superscript"/>
        </w:rPr>
        <w:footnoteRef/>
      </w:r>
      <w:r w:rsidRPr="009F549F">
        <w:rPr>
          <w:rFonts w:eastAsia="Century Schoolbook"/>
        </w:rPr>
        <w:t xml:space="preserve"> Some bets also cannot be expanded at any transaction cost because they are relatively uniquely available. </w:t>
      </w:r>
      <w:proofErr w:type="spellStart"/>
      <w:r w:rsidRPr="009F549F">
        <w:rPr>
          <w:rFonts w:eastAsia="Century Schoolbook"/>
        </w:rPr>
        <w:t>Weisbach</w:t>
      </w:r>
      <w:proofErr w:type="spellEnd"/>
      <w:r w:rsidRPr="009F549F">
        <w:rPr>
          <w:rFonts w:eastAsia="Century Schoolbook"/>
        </w:rPr>
        <w:t xml:space="preserve">, </w:t>
      </w:r>
      <w:r w:rsidRPr="009F549F">
        <w:rPr>
          <w:rFonts w:eastAsia="Century Schoolbook"/>
          <w:i/>
        </w:rPr>
        <w:t>supra</w:t>
      </w:r>
      <w:r w:rsidRPr="009F549F">
        <w:rPr>
          <w:rFonts w:eastAsia="Century Schoolbook"/>
        </w:rPr>
        <w:t xml:space="preserve"> note </w:t>
      </w:r>
      <w:r>
        <w:rPr>
          <w:rFonts w:eastAsia="Century Schoolbook"/>
        </w:rPr>
        <w:fldChar w:fldCharType="begin"/>
      </w:r>
      <w:r>
        <w:rPr>
          <w:rFonts w:eastAsia="Century Schoolbook"/>
        </w:rPr>
        <w:instrText xml:space="preserve"> NOTEREF _Ref115729212 \h </w:instrText>
      </w:r>
      <w:r>
        <w:rPr>
          <w:rFonts w:eastAsia="Century Schoolbook"/>
        </w:rPr>
      </w:r>
      <w:r>
        <w:rPr>
          <w:rFonts w:eastAsia="Century Schoolbook"/>
        </w:rPr>
        <w:fldChar w:fldCharType="separate"/>
      </w:r>
      <w:r>
        <w:rPr>
          <w:rFonts w:eastAsia="Century Schoolbook"/>
        </w:rPr>
        <w:t>35</w:t>
      </w:r>
      <w:r>
        <w:rPr>
          <w:rFonts w:eastAsia="Century Schoolbook"/>
        </w:rPr>
        <w:fldChar w:fldCharType="end"/>
      </w:r>
      <w:r w:rsidRPr="00036097">
        <w:rPr>
          <w:rFonts w:eastAsia="Century Schoolbook"/>
        </w:rPr>
        <w:t>,</w:t>
      </w:r>
      <w:r w:rsidRPr="009F549F">
        <w:rPr>
          <w:rFonts w:eastAsia="Century Schoolbook"/>
        </w:rPr>
        <w:t xml:space="preserve"> at 19–21. </w:t>
      </w:r>
      <w:r w:rsidRPr="004E5433">
        <w:rPr>
          <w:rFonts w:eastAsia="Century Schoolbook"/>
          <w:b/>
          <w:bCs/>
        </w:rPr>
        <w:t xml:space="preserve"> </w:t>
      </w:r>
    </w:p>
  </w:footnote>
  <w:footnote w:id="148">
    <w:p w14:paraId="3BB873CB" w14:textId="088B2F83" w:rsidR="006E30B5" w:rsidRPr="009F549F" w:rsidRDefault="006E30B5">
      <w:pPr>
        <w:rPr>
          <w:rFonts w:eastAsia="Century Schoolbook"/>
        </w:rPr>
      </w:pPr>
      <w:r w:rsidRPr="009F549F">
        <w:rPr>
          <w:vertAlign w:val="superscript"/>
        </w:rPr>
        <w:footnoteRef/>
      </w:r>
      <w:r w:rsidRPr="009F549F">
        <w:rPr>
          <w:rFonts w:eastAsia="Century Schoolbook"/>
        </w:rPr>
        <w:t xml:space="preserve"> Auerbach &amp; Poterba, </w:t>
      </w:r>
      <w:r w:rsidRPr="009F549F">
        <w:rPr>
          <w:rFonts w:eastAsia="Century Schoolbook"/>
          <w:i/>
        </w:rPr>
        <w:t>supra</w:t>
      </w:r>
      <w:r w:rsidRPr="009F549F">
        <w:rPr>
          <w:rFonts w:eastAsia="Century Schoolbook"/>
        </w:rPr>
        <w:t xml:space="preserve"> note </w:t>
      </w:r>
      <w:r w:rsidRPr="00036097">
        <w:rPr>
          <w:rFonts w:eastAsia="Century Schoolbook"/>
        </w:rPr>
        <w:fldChar w:fldCharType="begin"/>
      </w:r>
      <w:r w:rsidRPr="00036097">
        <w:rPr>
          <w:rFonts w:eastAsia="Century Schoolbook"/>
        </w:rPr>
        <w:instrText xml:space="preserve"> NOTEREF _Ref115601118 \h  \* MERGEFORMAT </w:instrText>
      </w:r>
      <w:r w:rsidRPr="00036097">
        <w:rPr>
          <w:rFonts w:eastAsia="Century Schoolbook"/>
        </w:rPr>
      </w:r>
      <w:r w:rsidRPr="00036097">
        <w:rPr>
          <w:rFonts w:eastAsia="Century Schoolbook"/>
        </w:rPr>
        <w:fldChar w:fldCharType="separate"/>
      </w:r>
      <w:r>
        <w:rPr>
          <w:rFonts w:eastAsia="Century Schoolbook"/>
        </w:rPr>
        <w:t>61</w:t>
      </w:r>
      <w:r w:rsidRPr="00036097">
        <w:rPr>
          <w:rFonts w:eastAsia="Century Schoolbook"/>
        </w:rPr>
        <w:fldChar w:fldCharType="end"/>
      </w:r>
      <w:r w:rsidRPr="00036097">
        <w:rPr>
          <w:rFonts w:eastAsia="Century Schoolbook"/>
        </w:rPr>
        <w:t>,</w:t>
      </w:r>
      <w:r w:rsidRPr="009F549F">
        <w:rPr>
          <w:rFonts w:eastAsia="Century Schoolbook"/>
        </w:rPr>
        <w:t xml:space="preserve"> at 626. This assumes that the loss limits in fact are binding; it may instead be the case that traders always have or can </w:t>
      </w:r>
      <w:proofErr w:type="spellStart"/>
      <w:r w:rsidRPr="009F549F">
        <w:rPr>
          <w:rFonts w:eastAsia="Century Schoolbook"/>
        </w:rPr>
        <w:t>risklessly</w:t>
      </w:r>
      <w:proofErr w:type="spellEnd"/>
      <w:r w:rsidRPr="009F549F">
        <w:rPr>
          <w:rFonts w:eastAsia="Century Schoolbook"/>
        </w:rPr>
        <w:t xml:space="preserve"> manufacture other gains to offset losses. </w:t>
      </w:r>
      <w:r>
        <w:rPr>
          <w:rFonts w:eastAsia="Century Schoolbook"/>
          <w:i/>
          <w:iCs/>
        </w:rPr>
        <w:t xml:space="preserve">See </w:t>
      </w:r>
      <w:r w:rsidRPr="009F549F">
        <w:rPr>
          <w:rFonts w:eastAsia="Century Schoolbook"/>
        </w:rPr>
        <w:t xml:space="preserve">Mark </w:t>
      </w:r>
      <w:proofErr w:type="spellStart"/>
      <w:r w:rsidRPr="009F549F">
        <w:rPr>
          <w:rFonts w:eastAsia="Century Schoolbook"/>
        </w:rPr>
        <w:t>Gergen</w:t>
      </w:r>
      <w:proofErr w:type="spellEnd"/>
      <w:r w:rsidRPr="009F549F">
        <w:rPr>
          <w:rFonts w:eastAsia="Century Schoolbook"/>
        </w:rPr>
        <w:t xml:space="preserve">, </w:t>
      </w:r>
      <w:r w:rsidRPr="009F549F">
        <w:rPr>
          <w:rFonts w:eastAsia="Century Schoolbook"/>
          <w:i/>
        </w:rPr>
        <w:t xml:space="preserve">The </w:t>
      </w:r>
      <w:r w:rsidRPr="00036097">
        <w:rPr>
          <w:rFonts w:eastAsia="Century Schoolbook"/>
          <w:i/>
        </w:rPr>
        <w:t>Effects</w:t>
      </w:r>
      <w:r w:rsidRPr="009F549F">
        <w:rPr>
          <w:rFonts w:eastAsia="Century Schoolbook"/>
          <w:i/>
        </w:rPr>
        <w:t xml:space="preserve"> of Price Volatility and Strategic Trading Under Realization, Expected Return and Retrospective Taxation</w:t>
      </w:r>
      <w:r w:rsidRPr="009F549F">
        <w:rPr>
          <w:rFonts w:eastAsia="Century Schoolbook"/>
        </w:rPr>
        <w:t xml:space="preserve">, 49 </w:t>
      </w:r>
      <w:r w:rsidRPr="009F549F">
        <w:rPr>
          <w:rFonts w:eastAsia="Century Schoolbook"/>
          <w:smallCaps/>
        </w:rPr>
        <w:t>Tax L. Rev</w:t>
      </w:r>
      <w:r w:rsidRPr="009F549F">
        <w:rPr>
          <w:rFonts w:eastAsia="Century Schoolbook"/>
        </w:rPr>
        <w:t>. 209, 213–14 (1995).</w:t>
      </w:r>
      <w:r w:rsidRPr="005071F8">
        <w:rPr>
          <w:rFonts w:eastAsia="Century Schoolbook"/>
          <w:b/>
          <w:bCs/>
        </w:rPr>
        <w:t xml:space="preserve"> </w:t>
      </w:r>
    </w:p>
  </w:footnote>
  <w:footnote w:id="149">
    <w:p w14:paraId="2E3EF8BB" w14:textId="566B40B6" w:rsidR="006E30B5" w:rsidRPr="009F549F" w:rsidRDefault="006E30B5">
      <w:pPr>
        <w:rPr>
          <w:rFonts w:eastAsia="Century Schoolbook"/>
        </w:rPr>
      </w:pPr>
      <w:r w:rsidRPr="009F549F">
        <w:rPr>
          <w:vertAlign w:val="superscript"/>
        </w:rPr>
        <w:footnoteRef/>
      </w:r>
      <w:r w:rsidRPr="009F549F">
        <w:rPr>
          <w:rFonts w:eastAsia="Century Schoolbook"/>
        </w:rPr>
        <w:t xml:space="preserve"> </w:t>
      </w:r>
      <w:r w:rsidRPr="00036097">
        <w:rPr>
          <w:rFonts w:eastAsia="Century Schoolbook"/>
        </w:rPr>
        <w:t>Retrospective</w:t>
      </w:r>
      <w:r w:rsidRPr="009F549F">
        <w:rPr>
          <w:rFonts w:eastAsia="Century Schoolbook"/>
        </w:rPr>
        <w:t xml:space="preserve"> systems also may not always solve the liquidity problem </w:t>
      </w:r>
      <w:r>
        <w:rPr>
          <w:rFonts w:eastAsia="Century Schoolbook"/>
        </w:rPr>
        <w:t>because</w:t>
      </w:r>
      <w:r w:rsidRPr="00036097">
        <w:rPr>
          <w:rFonts w:eastAsia="Century Schoolbook"/>
        </w:rPr>
        <w:t xml:space="preserve"> </w:t>
      </w:r>
      <w:r w:rsidRPr="009F549F">
        <w:rPr>
          <w:rFonts w:eastAsia="Century Schoolbook"/>
        </w:rPr>
        <w:t xml:space="preserve">the value realized at sale may not be sufficient to cover the interest charge. Cunningham &amp; Schenk, </w:t>
      </w:r>
      <w:r w:rsidRPr="009F549F">
        <w:rPr>
          <w:rFonts w:eastAsia="Century Schoolbook"/>
          <w:i/>
        </w:rPr>
        <w:t>supra</w:t>
      </w:r>
      <w:r w:rsidRPr="009F549F">
        <w:rPr>
          <w:rFonts w:eastAsia="Century Schoolbook"/>
        </w:rPr>
        <w:t xml:space="preserve"> note </w:t>
      </w:r>
      <w:r w:rsidRPr="00036097">
        <w:rPr>
          <w:rFonts w:eastAsia="Century Schoolbook"/>
        </w:rPr>
        <w:fldChar w:fldCharType="begin"/>
      </w:r>
      <w:r w:rsidRPr="00036097">
        <w:rPr>
          <w:rFonts w:eastAsia="Century Schoolbook"/>
        </w:rPr>
        <w:instrText xml:space="preserve"> NOTEREF _Ref115600030 \h  \* MERGEFORMAT </w:instrText>
      </w:r>
      <w:r w:rsidRPr="00036097">
        <w:rPr>
          <w:rFonts w:eastAsia="Century Schoolbook"/>
        </w:rPr>
      </w:r>
      <w:r w:rsidRPr="00036097">
        <w:rPr>
          <w:rFonts w:eastAsia="Century Schoolbook"/>
        </w:rPr>
        <w:fldChar w:fldCharType="separate"/>
      </w:r>
      <w:r>
        <w:rPr>
          <w:rFonts w:eastAsia="Century Schoolbook"/>
        </w:rPr>
        <w:t>37</w:t>
      </w:r>
      <w:r w:rsidRPr="00036097">
        <w:rPr>
          <w:rFonts w:eastAsia="Century Schoolbook"/>
        </w:rPr>
        <w:fldChar w:fldCharType="end"/>
      </w:r>
      <w:r w:rsidRPr="00036097">
        <w:rPr>
          <w:rFonts w:eastAsia="Century Schoolbook"/>
        </w:rPr>
        <w:t>,</w:t>
      </w:r>
      <w:r w:rsidRPr="009F549F">
        <w:rPr>
          <w:rFonts w:eastAsia="Century Schoolbook"/>
        </w:rPr>
        <w:t xml:space="preserve"> at 744–45. </w:t>
      </w:r>
    </w:p>
  </w:footnote>
  <w:footnote w:id="150">
    <w:p w14:paraId="40D8EA70" w14:textId="37861826" w:rsidR="006E30B5" w:rsidRPr="009F549F" w:rsidRDefault="006E30B5">
      <w:pPr>
        <w:rPr>
          <w:rFonts w:eastAsia="Century Schoolbook"/>
        </w:rPr>
      </w:pPr>
      <w:r w:rsidRPr="009F549F">
        <w:rPr>
          <w:vertAlign w:val="superscript"/>
        </w:rPr>
        <w:footnoteRef/>
      </w:r>
      <w:r w:rsidRPr="009F549F">
        <w:rPr>
          <w:rFonts w:eastAsia="Century Schoolbook"/>
        </w:rPr>
        <w:t xml:space="preserve"> </w:t>
      </w:r>
      <w:proofErr w:type="spellStart"/>
      <w:r w:rsidRPr="009F549F">
        <w:rPr>
          <w:rFonts w:eastAsia="Century Schoolbook"/>
        </w:rPr>
        <w:t>Glogower</w:t>
      </w:r>
      <w:proofErr w:type="spellEnd"/>
      <w:r w:rsidRPr="009F549F">
        <w:rPr>
          <w:rFonts w:eastAsia="Century Schoolbook"/>
        </w:rPr>
        <w:t xml:space="preserve">, </w:t>
      </w:r>
      <w:r w:rsidRPr="009F549F">
        <w:rPr>
          <w:rFonts w:eastAsia="Century Schoolbook"/>
          <w:i/>
        </w:rPr>
        <w:t>supra</w:t>
      </w:r>
      <w:r w:rsidRPr="009F549F">
        <w:rPr>
          <w:rFonts w:eastAsia="Century Schoolbook"/>
        </w:rPr>
        <w:t xml:space="preserve"> note </w:t>
      </w:r>
      <w:r w:rsidRPr="00036097">
        <w:rPr>
          <w:rFonts w:eastAsia="Century Schoolbook"/>
        </w:rPr>
        <w:fldChar w:fldCharType="begin"/>
      </w:r>
      <w:r w:rsidRPr="00036097">
        <w:rPr>
          <w:rFonts w:eastAsia="Century Schoolbook"/>
        </w:rPr>
        <w:instrText xml:space="preserve"> NOTEREF _Ref115603608 \h  \* MERGEFORMAT </w:instrText>
      </w:r>
      <w:r w:rsidRPr="00036097">
        <w:rPr>
          <w:rFonts w:eastAsia="Century Schoolbook"/>
        </w:rPr>
      </w:r>
      <w:r w:rsidRPr="00036097">
        <w:rPr>
          <w:rFonts w:eastAsia="Century Schoolbook"/>
        </w:rPr>
        <w:fldChar w:fldCharType="separate"/>
      </w:r>
      <w:r>
        <w:rPr>
          <w:rFonts w:eastAsia="Century Schoolbook"/>
        </w:rPr>
        <w:t>64</w:t>
      </w:r>
      <w:r w:rsidRPr="00036097">
        <w:rPr>
          <w:rFonts w:eastAsia="Century Schoolbook"/>
        </w:rPr>
        <w:fldChar w:fldCharType="end"/>
      </w:r>
      <w:r w:rsidRPr="00036097">
        <w:rPr>
          <w:rFonts w:eastAsia="Century Schoolbook"/>
        </w:rPr>
        <w:t>,</w:t>
      </w:r>
      <w:r w:rsidRPr="009F549F">
        <w:rPr>
          <w:rFonts w:eastAsia="Century Schoolbook"/>
        </w:rPr>
        <w:t xml:space="preserve"> at 143–54.</w:t>
      </w:r>
    </w:p>
  </w:footnote>
  <w:footnote w:id="151">
    <w:p w14:paraId="5CA68F9F" w14:textId="77777777" w:rsidR="006E30B5" w:rsidRPr="009F549F" w:rsidRDefault="006E30B5">
      <w:pPr>
        <w:rPr>
          <w:rFonts w:eastAsia="Century Schoolbook"/>
        </w:rPr>
      </w:pPr>
      <w:r w:rsidRPr="009F549F">
        <w:rPr>
          <w:vertAlign w:val="superscript"/>
        </w:rPr>
        <w:footnoteRef/>
      </w:r>
      <w:r w:rsidRPr="009F549F">
        <w:rPr>
          <w:rFonts w:eastAsia="Century Schoolbook"/>
        </w:rPr>
        <w:t xml:space="preserve"> William F. Sharpe, </w:t>
      </w:r>
      <w:r w:rsidRPr="009F549F">
        <w:rPr>
          <w:rFonts w:eastAsia="Century Schoolbook"/>
          <w:i/>
        </w:rPr>
        <w:t>Capital Asset Prices: A Theory of Market Equilibrium Under Conditions of Risk</w:t>
      </w:r>
      <w:r w:rsidRPr="009F549F">
        <w:rPr>
          <w:rFonts w:eastAsia="Century Schoolbook"/>
        </w:rPr>
        <w:t xml:space="preserve">, 19 J. </w:t>
      </w:r>
      <w:r w:rsidRPr="009F549F">
        <w:rPr>
          <w:rFonts w:eastAsia="Century Schoolbook"/>
          <w:smallCaps/>
        </w:rPr>
        <w:t>Fin.</w:t>
      </w:r>
      <w:r w:rsidRPr="009F549F">
        <w:rPr>
          <w:rFonts w:eastAsia="Century Schoolbook"/>
        </w:rPr>
        <w:t xml:space="preserve"> 425, 436–42 (1964). </w:t>
      </w:r>
    </w:p>
  </w:footnote>
  <w:footnote w:id="152">
    <w:p w14:paraId="7CE0A4CB" w14:textId="3031B1E0" w:rsidR="006E30B5" w:rsidRPr="009F549F" w:rsidRDefault="006E30B5">
      <w:pPr>
        <w:rPr>
          <w:rFonts w:eastAsia="Century Schoolbook"/>
        </w:rPr>
      </w:pPr>
      <w:r w:rsidRPr="009F549F">
        <w:rPr>
          <w:vertAlign w:val="superscript"/>
        </w:rPr>
        <w:footnoteRef/>
      </w:r>
      <w:r w:rsidRPr="009F549F">
        <w:rPr>
          <w:rFonts w:eastAsia="Century Schoolbook"/>
        </w:rPr>
        <w:t xml:space="preserve"> </w:t>
      </w:r>
      <w:proofErr w:type="spellStart"/>
      <w:r w:rsidRPr="009F549F">
        <w:rPr>
          <w:rFonts w:eastAsia="Century Schoolbook"/>
        </w:rPr>
        <w:t>Glogower</w:t>
      </w:r>
      <w:proofErr w:type="spellEnd"/>
      <w:r w:rsidRPr="009F549F">
        <w:rPr>
          <w:rFonts w:eastAsia="Century Schoolbook"/>
        </w:rPr>
        <w:t xml:space="preserve">, </w:t>
      </w:r>
      <w:r w:rsidRPr="009F549F">
        <w:rPr>
          <w:rFonts w:eastAsia="Century Schoolbook"/>
          <w:i/>
        </w:rPr>
        <w:t>supra</w:t>
      </w:r>
      <w:r w:rsidRPr="009F549F">
        <w:rPr>
          <w:rFonts w:eastAsia="Century Schoolbook"/>
        </w:rPr>
        <w:t xml:space="preserve"> note </w:t>
      </w:r>
      <w:r>
        <w:rPr>
          <w:rFonts w:eastAsia="Century Schoolbook"/>
        </w:rPr>
        <w:fldChar w:fldCharType="begin"/>
      </w:r>
      <w:r>
        <w:rPr>
          <w:rFonts w:eastAsia="Century Schoolbook"/>
        </w:rPr>
        <w:instrText xml:space="preserve"> NOTEREF _Ref115603608 \h </w:instrText>
      </w:r>
      <w:r>
        <w:rPr>
          <w:rFonts w:eastAsia="Century Schoolbook"/>
        </w:rPr>
      </w:r>
      <w:r>
        <w:rPr>
          <w:rFonts w:eastAsia="Century Schoolbook"/>
        </w:rPr>
        <w:fldChar w:fldCharType="separate"/>
      </w:r>
      <w:r>
        <w:rPr>
          <w:rFonts w:eastAsia="Century Schoolbook"/>
        </w:rPr>
        <w:t>64</w:t>
      </w:r>
      <w:r>
        <w:rPr>
          <w:rFonts w:eastAsia="Century Schoolbook"/>
        </w:rPr>
        <w:fldChar w:fldCharType="end"/>
      </w:r>
      <w:r w:rsidRPr="00036097">
        <w:rPr>
          <w:rFonts w:eastAsia="Century Schoolbook"/>
        </w:rPr>
        <w:t>,</w:t>
      </w:r>
      <w:r w:rsidRPr="009F549F">
        <w:rPr>
          <w:rFonts w:eastAsia="Century Schoolbook"/>
        </w:rPr>
        <w:t xml:space="preserve"> at 154.</w:t>
      </w:r>
    </w:p>
  </w:footnote>
  <w:footnote w:id="153">
    <w:p w14:paraId="511EFE60" w14:textId="111F393C" w:rsidR="006E30B5" w:rsidRPr="009F549F" w:rsidRDefault="006E30B5">
      <w:pPr>
        <w:rPr>
          <w:rFonts w:eastAsia="Century Schoolbook"/>
          <w:b/>
        </w:rPr>
      </w:pPr>
      <w:r w:rsidRPr="009F549F">
        <w:rPr>
          <w:vertAlign w:val="superscript"/>
        </w:rPr>
        <w:footnoteRef/>
      </w:r>
      <w:r w:rsidRPr="009F549F">
        <w:rPr>
          <w:rFonts w:eastAsia="Century Schoolbook"/>
        </w:rPr>
        <w:t xml:space="preserve"> </w:t>
      </w:r>
      <w:r w:rsidRPr="009F549F">
        <w:rPr>
          <w:rFonts w:eastAsia="Century Schoolbook"/>
          <w:i/>
        </w:rPr>
        <w:t>Id.</w:t>
      </w:r>
      <w:r w:rsidRPr="009F549F">
        <w:rPr>
          <w:rFonts w:eastAsia="Century Schoolbook"/>
        </w:rPr>
        <w:t xml:space="preserve"> </w:t>
      </w:r>
      <w:r w:rsidRPr="009F549F">
        <w:rPr>
          <w:rFonts w:eastAsia="Century Schoolbook"/>
        </w:rPr>
        <w:t xml:space="preserve">at 138; </w:t>
      </w:r>
      <w:r w:rsidRPr="009F549F">
        <w:rPr>
          <w:rFonts w:eastAsia="Century Schoolbook"/>
          <w:i/>
        </w:rPr>
        <w:t>see also</w:t>
      </w:r>
      <w:r w:rsidRPr="009F549F">
        <w:rPr>
          <w:rFonts w:eastAsia="Century Schoolbook"/>
        </w:rPr>
        <w:t xml:space="preserve"> Cunningham &amp; Schenk, </w:t>
      </w:r>
      <w:r w:rsidRPr="009F549F">
        <w:rPr>
          <w:rFonts w:eastAsia="Century Schoolbook"/>
          <w:i/>
        </w:rPr>
        <w:t>supra</w:t>
      </w:r>
      <w:r w:rsidRPr="009F549F">
        <w:rPr>
          <w:rFonts w:eastAsia="Century Schoolbook"/>
        </w:rPr>
        <w:t xml:space="preserve"> note </w:t>
      </w:r>
      <w:r w:rsidRPr="00036097">
        <w:rPr>
          <w:rFonts w:eastAsia="Century Schoolbook"/>
        </w:rPr>
        <w:fldChar w:fldCharType="begin"/>
      </w:r>
      <w:r w:rsidRPr="00036097">
        <w:rPr>
          <w:rFonts w:eastAsia="Century Schoolbook"/>
        </w:rPr>
        <w:instrText xml:space="preserve"> NOTEREF _Ref115600030 \h  \* MERGEFORMAT </w:instrText>
      </w:r>
      <w:r w:rsidRPr="00036097">
        <w:rPr>
          <w:rFonts w:eastAsia="Century Schoolbook"/>
        </w:rPr>
      </w:r>
      <w:r w:rsidRPr="00036097">
        <w:rPr>
          <w:rFonts w:eastAsia="Century Schoolbook"/>
        </w:rPr>
        <w:fldChar w:fldCharType="separate"/>
      </w:r>
      <w:r>
        <w:rPr>
          <w:rFonts w:eastAsia="Century Schoolbook"/>
        </w:rPr>
        <w:t>37</w:t>
      </w:r>
      <w:r w:rsidRPr="00036097">
        <w:rPr>
          <w:rFonts w:eastAsia="Century Schoolbook"/>
        </w:rPr>
        <w:fldChar w:fldCharType="end"/>
      </w:r>
      <w:r w:rsidRPr="00036097">
        <w:rPr>
          <w:rFonts w:eastAsia="Century Schoolbook"/>
        </w:rPr>
        <w:t>,</w:t>
      </w:r>
      <w:r w:rsidRPr="009F549F">
        <w:rPr>
          <w:rFonts w:eastAsia="Century Schoolbook"/>
        </w:rPr>
        <w:t xml:space="preserve"> at 745</w:t>
      </w:r>
      <w:r w:rsidRPr="00036097">
        <w:rPr>
          <w:rFonts w:eastAsia="Century Schoolbook"/>
        </w:rPr>
        <w:t xml:space="preserve"> (</w:t>
      </w:r>
      <w:r>
        <w:rPr>
          <w:rFonts w:eastAsia="Century Schoolbook"/>
        </w:rPr>
        <w:t>noting complexity of variable-rate retrospective approach</w:t>
      </w:r>
      <w:r w:rsidRPr="00036097">
        <w:rPr>
          <w:rFonts w:eastAsia="Century Schoolbook"/>
        </w:rPr>
        <w:t>)</w:t>
      </w:r>
      <w:r>
        <w:rPr>
          <w:rFonts w:eastAsia="Century Schoolbook"/>
        </w:rPr>
        <w:t>.</w:t>
      </w:r>
      <w:r w:rsidRPr="009F549F">
        <w:rPr>
          <w:rFonts w:eastAsia="Century Schoolbook"/>
        </w:rPr>
        <w:t xml:space="preserve"> Further, even asset-specific interest charges fail to capture real economic growth of an asset if the interest charges are assessed only periodically, such as annually. </w:t>
      </w:r>
      <w:proofErr w:type="spellStart"/>
      <w:r w:rsidRPr="009F549F">
        <w:rPr>
          <w:rFonts w:eastAsia="Century Schoolbook"/>
        </w:rPr>
        <w:t>Strnad</w:t>
      </w:r>
      <w:proofErr w:type="spellEnd"/>
      <w:r w:rsidRPr="009F549F">
        <w:rPr>
          <w:rFonts w:eastAsia="Century Schoolbook"/>
        </w:rPr>
        <w:t xml:space="preserve">, </w:t>
      </w:r>
      <w:r w:rsidRPr="009F549F">
        <w:rPr>
          <w:rFonts w:eastAsia="Century Schoolbook"/>
          <w:i/>
        </w:rPr>
        <w:t>supra</w:t>
      </w:r>
      <w:r w:rsidRPr="009F549F">
        <w:rPr>
          <w:rFonts w:eastAsia="Century Schoolbook"/>
        </w:rPr>
        <w:t xml:space="preserve"> note </w:t>
      </w:r>
      <w:r w:rsidRPr="00036097">
        <w:rPr>
          <w:rFonts w:eastAsia="Century Schoolbook"/>
        </w:rPr>
        <w:fldChar w:fldCharType="begin"/>
      </w:r>
      <w:r w:rsidRPr="00036097">
        <w:rPr>
          <w:rFonts w:eastAsia="Century Schoolbook"/>
        </w:rPr>
        <w:instrText xml:space="preserve"> NOTEREF _Ref115347143 \h  \* MERGEFORMAT </w:instrText>
      </w:r>
      <w:r w:rsidRPr="00036097">
        <w:rPr>
          <w:rFonts w:eastAsia="Century Schoolbook"/>
        </w:rPr>
      </w:r>
      <w:r w:rsidRPr="00036097">
        <w:rPr>
          <w:rFonts w:eastAsia="Century Schoolbook"/>
        </w:rPr>
        <w:fldChar w:fldCharType="separate"/>
      </w:r>
      <w:r>
        <w:rPr>
          <w:rFonts w:eastAsia="Century Schoolbook"/>
        </w:rPr>
        <w:t>63</w:t>
      </w:r>
      <w:r w:rsidRPr="00036097">
        <w:rPr>
          <w:rFonts w:eastAsia="Century Schoolbook"/>
        </w:rPr>
        <w:fldChar w:fldCharType="end"/>
      </w:r>
      <w:r w:rsidRPr="00036097">
        <w:rPr>
          <w:rFonts w:eastAsia="Century Schoolbook"/>
        </w:rPr>
        <w:t>,</w:t>
      </w:r>
      <w:r w:rsidRPr="009F549F">
        <w:rPr>
          <w:rFonts w:eastAsia="Century Schoolbook"/>
        </w:rPr>
        <w:t xml:space="preserve"> at 1893. These approaches may also be gameable through strategically timed sales and purchases</w:t>
      </w:r>
      <w:r w:rsidRPr="00CF3139">
        <w:rPr>
          <w:rFonts w:eastAsia="Century Schoolbook"/>
        </w:rPr>
        <w:t xml:space="preserve">. </w:t>
      </w:r>
      <w:r w:rsidRPr="005071F8">
        <w:rPr>
          <w:rFonts w:eastAsia="Century Schoolbook"/>
          <w:i/>
        </w:rPr>
        <w:t>I</w:t>
      </w:r>
      <w:r w:rsidRPr="00CF3139">
        <w:rPr>
          <w:rFonts w:eastAsia="Century Schoolbook"/>
          <w:i/>
        </w:rPr>
        <w:t>d</w:t>
      </w:r>
      <w:r w:rsidRPr="009F549F">
        <w:rPr>
          <w:rFonts w:eastAsia="Century Schoolbook"/>
          <w:i/>
        </w:rPr>
        <w:t>.</w:t>
      </w:r>
      <w:r w:rsidRPr="009F549F">
        <w:rPr>
          <w:rFonts w:eastAsia="Century Schoolbook"/>
        </w:rPr>
        <w:t xml:space="preserve"> at 1894–97; </w:t>
      </w:r>
      <w:proofErr w:type="spellStart"/>
      <w:r w:rsidRPr="009F549F">
        <w:rPr>
          <w:rFonts w:eastAsia="Century Schoolbook"/>
        </w:rPr>
        <w:t>Gergen</w:t>
      </w:r>
      <w:proofErr w:type="spellEnd"/>
      <w:r w:rsidRPr="009F549F">
        <w:rPr>
          <w:rFonts w:eastAsia="Century Schoolbook"/>
        </w:rPr>
        <w:t xml:space="preserve">, </w:t>
      </w:r>
      <w:r w:rsidRPr="009F549F">
        <w:rPr>
          <w:rFonts w:eastAsia="Century Schoolbook"/>
          <w:i/>
        </w:rPr>
        <w:t xml:space="preserve">supra </w:t>
      </w:r>
      <w:r w:rsidRPr="009F549F">
        <w:rPr>
          <w:rFonts w:eastAsia="Century Schoolbook"/>
        </w:rPr>
        <w:t xml:space="preserve">note </w:t>
      </w:r>
      <w:r w:rsidRPr="005071F8">
        <w:rPr>
          <w:rFonts w:eastAsia="Century Schoolbook"/>
        </w:rPr>
        <w:fldChar w:fldCharType="begin"/>
      </w:r>
      <w:r w:rsidRPr="005071F8">
        <w:rPr>
          <w:rFonts w:eastAsia="Century Schoolbook"/>
        </w:rPr>
        <w:instrText xml:space="preserve"> NOTEREF _Ref115729323 \h  \* MERGEFORMAT </w:instrText>
      </w:r>
      <w:r w:rsidRPr="005071F8">
        <w:rPr>
          <w:rFonts w:eastAsia="Century Schoolbook"/>
        </w:rPr>
      </w:r>
      <w:r w:rsidRPr="005071F8">
        <w:rPr>
          <w:rFonts w:eastAsia="Century Schoolbook"/>
        </w:rPr>
        <w:fldChar w:fldCharType="separate"/>
      </w:r>
      <w:r>
        <w:rPr>
          <w:rFonts w:eastAsia="Century Schoolbook"/>
        </w:rPr>
        <w:t>148</w:t>
      </w:r>
      <w:r w:rsidRPr="005071F8">
        <w:rPr>
          <w:rFonts w:eastAsia="Century Schoolbook"/>
        </w:rPr>
        <w:fldChar w:fldCharType="end"/>
      </w:r>
      <w:r w:rsidRPr="00CF3139">
        <w:rPr>
          <w:rFonts w:eastAsia="Century Schoolbook"/>
        </w:rPr>
        <w:t>,</w:t>
      </w:r>
      <w:r w:rsidRPr="009F549F">
        <w:rPr>
          <w:rFonts w:eastAsia="Century Schoolbook"/>
        </w:rPr>
        <w:t xml:space="preserve"> at 210</w:t>
      </w:r>
      <w:r w:rsidRPr="00CF3139">
        <w:rPr>
          <w:rFonts w:eastAsia="Century Schoolbook"/>
        </w:rPr>
        <w:t>. But</w:t>
      </w:r>
      <w:r w:rsidRPr="009F549F">
        <w:rPr>
          <w:rFonts w:eastAsia="Century Schoolbook"/>
        </w:rPr>
        <w:t xml:space="preserve"> it is possible to make them relatively more game-resistant</w:t>
      </w:r>
      <w:r w:rsidRPr="00CF3139">
        <w:rPr>
          <w:rFonts w:eastAsia="Century Schoolbook"/>
        </w:rPr>
        <w:t>.</w:t>
      </w:r>
      <w:r w:rsidRPr="009F549F">
        <w:rPr>
          <w:rFonts w:eastAsia="Century Schoolbook"/>
        </w:rPr>
        <w:t xml:space="preserve"> David F. Bradford, </w:t>
      </w:r>
      <w:r w:rsidRPr="009F549F">
        <w:rPr>
          <w:rFonts w:eastAsia="Century Schoolbook"/>
          <w:i/>
        </w:rPr>
        <w:t>Fixing Capital Gains: Symmetry, Consistency and Correctness in the Taxation of Financial Instruments</w:t>
      </w:r>
      <w:r w:rsidRPr="00600377">
        <w:rPr>
          <w:rFonts w:eastAsia="Century Schoolbook"/>
        </w:rPr>
        <w:t xml:space="preserve">  ## (Nat’l</w:t>
      </w:r>
      <w:r w:rsidRPr="009F549F">
        <w:rPr>
          <w:rFonts w:eastAsia="Century Schoolbook"/>
        </w:rPr>
        <w:t xml:space="preserve"> Bureau of Econ. </w:t>
      </w:r>
      <w:proofErr w:type="spellStart"/>
      <w:r w:rsidRPr="00600377">
        <w:rPr>
          <w:rFonts w:eastAsia="Century Schoolbook"/>
        </w:rPr>
        <w:t>Rs</w:t>
      </w:r>
      <w:r w:rsidRPr="005D7BFA">
        <w:rPr>
          <w:rFonts w:eastAsia="Century Schoolbook"/>
        </w:rPr>
        <w:t>ch</w:t>
      </w:r>
      <w:proofErr w:type="spellEnd"/>
      <w:r w:rsidRPr="005D7BFA">
        <w:rPr>
          <w:rFonts w:eastAsia="Century Schoolbook"/>
        </w:rPr>
        <w:t>.,</w:t>
      </w:r>
      <w:r w:rsidRPr="009F549F">
        <w:rPr>
          <w:rFonts w:eastAsia="Century Schoolbook"/>
        </w:rPr>
        <w:t xml:space="preserve"> Working Paper No. 5754</w:t>
      </w:r>
      <w:r w:rsidRPr="005D7BFA">
        <w:rPr>
          <w:rFonts w:eastAsia="Century Schoolbook"/>
        </w:rPr>
        <w:t xml:space="preserve">, </w:t>
      </w:r>
      <w:r w:rsidRPr="009F549F">
        <w:rPr>
          <w:rFonts w:eastAsia="Century Schoolbook"/>
        </w:rPr>
        <w:t>1996</w:t>
      </w:r>
      <w:r w:rsidRPr="005D7BFA">
        <w:rPr>
          <w:rFonts w:eastAsia="Century Schoolbook"/>
        </w:rPr>
        <w:t>)</w:t>
      </w:r>
      <w:r>
        <w:rPr>
          <w:rFonts w:eastAsia="Century Schoolbook"/>
        </w:rPr>
        <w:t xml:space="preserve"> (describing an approach for reducing the tax benefits of strategic timing</w:t>
      </w:r>
      <w:r w:rsidRPr="009F549F">
        <w:rPr>
          <w:rFonts w:eastAsia="Century Schoolbook"/>
        </w:rPr>
        <w:t xml:space="preserve">). </w:t>
      </w:r>
    </w:p>
  </w:footnote>
  <w:footnote w:id="154">
    <w:p w14:paraId="2D1181D1" w14:textId="2FE2DC96" w:rsidR="006E30B5" w:rsidRPr="009F549F" w:rsidRDefault="006E30B5">
      <w:pPr>
        <w:rPr>
          <w:rFonts w:eastAsia="Century Schoolbook"/>
        </w:rPr>
      </w:pPr>
      <w:r w:rsidRPr="009F549F">
        <w:rPr>
          <w:vertAlign w:val="superscript"/>
        </w:rPr>
        <w:footnoteRef/>
      </w:r>
      <w:r w:rsidRPr="009F549F">
        <w:rPr>
          <w:rFonts w:eastAsia="Century Schoolbook"/>
        </w:rPr>
        <w:t xml:space="preserve"> </w:t>
      </w:r>
      <w:proofErr w:type="spellStart"/>
      <w:r w:rsidRPr="009F549F">
        <w:rPr>
          <w:rFonts w:eastAsia="Century Schoolbook"/>
        </w:rPr>
        <w:t>Shaviro</w:t>
      </w:r>
      <w:proofErr w:type="spellEnd"/>
      <w:r w:rsidRPr="009F549F">
        <w:rPr>
          <w:rFonts w:eastAsia="Century Schoolbook"/>
        </w:rPr>
        <w:t xml:space="preserve">, </w:t>
      </w:r>
      <w:r w:rsidRPr="009F549F">
        <w:rPr>
          <w:rFonts w:eastAsia="Century Schoolbook"/>
          <w:i/>
        </w:rPr>
        <w:t>supra</w:t>
      </w:r>
      <w:r w:rsidRPr="009F549F">
        <w:rPr>
          <w:rFonts w:eastAsia="Century Schoolbook"/>
        </w:rPr>
        <w:t xml:space="preserve"> note </w:t>
      </w:r>
      <w:r w:rsidRPr="00036097">
        <w:rPr>
          <w:rFonts w:eastAsia="Century Schoolbook"/>
        </w:rPr>
        <w:fldChar w:fldCharType="begin"/>
      </w:r>
      <w:r w:rsidRPr="00036097">
        <w:rPr>
          <w:rFonts w:eastAsia="Century Schoolbook"/>
        </w:rPr>
        <w:instrText xml:space="preserve"> NOTEREF _Ref115045365 \h  \* MERGEFORMAT </w:instrText>
      </w:r>
      <w:r w:rsidRPr="00036097">
        <w:rPr>
          <w:rFonts w:eastAsia="Century Schoolbook"/>
        </w:rPr>
      </w:r>
      <w:r w:rsidRPr="00036097">
        <w:rPr>
          <w:rFonts w:eastAsia="Century Schoolbook"/>
        </w:rPr>
        <w:fldChar w:fldCharType="separate"/>
      </w:r>
      <w:r>
        <w:rPr>
          <w:rFonts w:eastAsia="Century Schoolbook"/>
        </w:rPr>
        <w:t>42</w:t>
      </w:r>
      <w:r w:rsidRPr="00036097">
        <w:rPr>
          <w:rFonts w:eastAsia="Century Schoolbook"/>
        </w:rPr>
        <w:fldChar w:fldCharType="end"/>
      </w:r>
      <w:r w:rsidRPr="00036097">
        <w:rPr>
          <w:rFonts w:eastAsia="Century Schoolbook"/>
        </w:rPr>
        <w:t>,</w:t>
      </w:r>
      <w:r w:rsidRPr="009F549F">
        <w:rPr>
          <w:rFonts w:eastAsia="Century Schoolbook"/>
        </w:rPr>
        <w:t xml:space="preserve"> at 28.</w:t>
      </w:r>
    </w:p>
  </w:footnote>
  <w:footnote w:id="155">
    <w:p w14:paraId="13ADF9B5" w14:textId="512FCD8C" w:rsidR="006E30B5" w:rsidRPr="009F549F" w:rsidRDefault="006E30B5">
      <w:pPr>
        <w:rPr>
          <w:rFonts w:eastAsia="Century Schoolbook"/>
        </w:rPr>
      </w:pPr>
      <w:r w:rsidRPr="009F549F">
        <w:rPr>
          <w:vertAlign w:val="superscript"/>
        </w:rPr>
        <w:footnoteRef/>
      </w:r>
      <w:r w:rsidRPr="009F549F">
        <w:rPr>
          <w:rFonts w:eastAsia="Century Schoolbook"/>
        </w:rPr>
        <w:t xml:space="preserve"> </w:t>
      </w:r>
      <w:r w:rsidRPr="009F549F">
        <w:rPr>
          <w:rFonts w:eastAsia="Century Schoolbook"/>
          <w:i/>
        </w:rPr>
        <w:t>Id.</w:t>
      </w:r>
      <w:r w:rsidRPr="00036097">
        <w:rPr>
          <w:rFonts w:eastAsia="Century Schoolbook"/>
          <w:i/>
        </w:rPr>
        <w:t xml:space="preserve"> </w:t>
      </w:r>
    </w:p>
  </w:footnote>
  <w:footnote w:id="156">
    <w:p w14:paraId="145152DF" w14:textId="2D306242" w:rsidR="006E30B5" w:rsidRPr="009F549F" w:rsidRDefault="006E30B5">
      <w:pPr>
        <w:rPr>
          <w:rFonts w:eastAsia="Century Schoolbook"/>
        </w:rPr>
      </w:pPr>
      <w:r w:rsidRPr="009F549F">
        <w:rPr>
          <w:vertAlign w:val="superscript"/>
        </w:rPr>
        <w:footnoteRef/>
      </w:r>
      <w:r w:rsidRPr="009F549F">
        <w:rPr>
          <w:rFonts w:eastAsia="Century Schoolbook"/>
        </w:rPr>
        <w:t xml:space="preserve"> </w:t>
      </w:r>
      <w:r w:rsidRPr="009F549F">
        <w:rPr>
          <w:rFonts w:eastAsia="Century Schoolbook"/>
          <w:highlight w:val="white"/>
        </w:rPr>
        <w:t xml:space="preserve">Louis Kaplow &amp; Steven </w:t>
      </w:r>
      <w:proofErr w:type="spellStart"/>
      <w:r w:rsidRPr="009F549F">
        <w:rPr>
          <w:rFonts w:eastAsia="Century Schoolbook"/>
          <w:highlight w:val="white"/>
        </w:rPr>
        <w:t>Shavell</w:t>
      </w:r>
      <w:proofErr w:type="spellEnd"/>
      <w:r w:rsidRPr="009F549F">
        <w:rPr>
          <w:rFonts w:eastAsia="Century Schoolbook"/>
          <w:highlight w:val="white"/>
        </w:rPr>
        <w:t xml:space="preserve">, </w:t>
      </w:r>
      <w:r w:rsidRPr="009F549F">
        <w:rPr>
          <w:rFonts w:eastAsia="Century Schoolbook"/>
          <w:i/>
          <w:highlight w:val="white"/>
        </w:rPr>
        <w:t>Property Rules Versus Liability Rules: An Economic Analysis</w:t>
      </w:r>
      <w:r w:rsidRPr="009F549F">
        <w:rPr>
          <w:rFonts w:eastAsia="Century Schoolbook"/>
          <w:highlight w:val="white"/>
        </w:rPr>
        <w:t xml:space="preserve">, 109 </w:t>
      </w:r>
      <w:r w:rsidRPr="009F549F">
        <w:rPr>
          <w:rFonts w:eastAsia="Century Schoolbook"/>
          <w:smallCaps/>
          <w:highlight w:val="white"/>
        </w:rPr>
        <w:t>Harv. L. Rev.</w:t>
      </w:r>
      <w:r w:rsidRPr="009F549F">
        <w:rPr>
          <w:rFonts w:eastAsia="Century Schoolbook"/>
          <w:highlight w:val="white"/>
        </w:rPr>
        <w:t xml:space="preserve"> 713, 775–79 (1996).</w:t>
      </w:r>
      <w:r w:rsidRPr="00036097">
        <w:rPr>
          <w:rFonts w:eastAsia="Century Schoolbook"/>
        </w:rPr>
        <w:t xml:space="preserve"> </w:t>
      </w:r>
    </w:p>
  </w:footnote>
  <w:footnote w:id="157">
    <w:p w14:paraId="0EE4FEBF" w14:textId="7DD5A4F1" w:rsidR="006E30B5" w:rsidRPr="009F549F" w:rsidRDefault="006E30B5">
      <w:pPr>
        <w:rPr>
          <w:rFonts w:eastAsia="Century Schoolbook"/>
        </w:rPr>
      </w:pPr>
      <w:r w:rsidRPr="009F549F">
        <w:rPr>
          <w:vertAlign w:val="superscript"/>
        </w:rPr>
        <w:footnoteRef/>
      </w:r>
      <w:r w:rsidRPr="009F549F">
        <w:rPr>
          <w:rFonts w:eastAsia="Century Schoolbook"/>
        </w:rPr>
        <w:t xml:space="preserve"> For example, suppose that Al, Betty, and Chaz expect to earn profits of 1</w:t>
      </w:r>
      <w:r>
        <w:rPr>
          <w:rFonts w:eastAsia="Century Schoolbook"/>
        </w:rPr>
        <w:t xml:space="preserve"> percent</w:t>
      </w:r>
      <w:r w:rsidRPr="009F549F">
        <w:rPr>
          <w:rFonts w:eastAsia="Century Schoolbook"/>
        </w:rPr>
        <w:t>, 5</w:t>
      </w:r>
      <w:r>
        <w:rPr>
          <w:rFonts w:eastAsia="Century Schoolbook"/>
        </w:rPr>
        <w:t xml:space="preserve"> percent</w:t>
      </w:r>
      <w:r w:rsidRPr="009F549F">
        <w:rPr>
          <w:rFonts w:eastAsia="Century Schoolbook"/>
        </w:rPr>
        <w:t>, and 10</w:t>
      </w:r>
      <w:r>
        <w:rPr>
          <w:rFonts w:eastAsia="Century Schoolbook"/>
        </w:rPr>
        <w:t xml:space="preserve"> percent</w:t>
      </w:r>
      <w:r w:rsidRPr="009F549F">
        <w:rPr>
          <w:rFonts w:eastAsia="Century Schoolbook"/>
        </w:rPr>
        <w:t>, respectively. If government sets an interest rate of 1</w:t>
      </w:r>
      <w:r w:rsidRPr="00C75FF0">
        <w:rPr>
          <w:rFonts w:eastAsia="Century Schoolbook"/>
        </w:rPr>
        <w:t xml:space="preserve"> percent</w:t>
      </w:r>
      <w:r w:rsidRPr="009F549F">
        <w:rPr>
          <w:rFonts w:eastAsia="Century Schoolbook"/>
        </w:rPr>
        <w:t>, it will only be off for two taxpayers, but the total error will be  (1 − 1) + (5 − 1) + (10 − 1</w:t>
      </w:r>
      <w:r w:rsidRPr="00C75FF0">
        <w:rPr>
          <w:rFonts w:eastAsia="Century Schoolbook"/>
        </w:rPr>
        <w:t>)</w:t>
      </w:r>
      <w:r w:rsidRPr="009F549F">
        <w:rPr>
          <w:rFonts w:eastAsia="Century Schoolbook"/>
        </w:rPr>
        <w:t xml:space="preserve"> = 13</w:t>
      </w:r>
      <w:r w:rsidRPr="00C75FF0">
        <w:rPr>
          <w:rFonts w:eastAsia="Century Schoolbook"/>
        </w:rPr>
        <w:t>.</w:t>
      </w:r>
      <w:r w:rsidRPr="009F549F">
        <w:rPr>
          <w:rFonts w:eastAsia="Century Schoolbook"/>
        </w:rPr>
        <w:t xml:space="preserve"> If it sets a rate of 5.5</w:t>
      </w:r>
      <w:r w:rsidRPr="00C75FF0">
        <w:rPr>
          <w:rFonts w:eastAsia="Century Schoolbook"/>
        </w:rPr>
        <w:t xml:space="preserve"> percent</w:t>
      </w:r>
      <w:r w:rsidRPr="009F549F">
        <w:rPr>
          <w:rFonts w:eastAsia="Century Schoolbook"/>
        </w:rPr>
        <w:t xml:space="preserve"> instead, it will be off for all three taxpayers. But the total error will be only (5.5 − 1) + (5.5 − 5) + (10 − 5) = 10. More importantly, since economic cost is an exponential function of the error size, the </w:t>
      </w:r>
      <w:r w:rsidRPr="009F549F">
        <w:rPr>
          <w:rFonts w:eastAsia="Century Schoolbook"/>
          <w:i/>
        </w:rPr>
        <w:t>squared</w:t>
      </w:r>
      <w:r w:rsidRPr="009F549F">
        <w:rPr>
          <w:rFonts w:eastAsia="Century Schoolbook"/>
        </w:rPr>
        <w:t xml:space="preserve"> error in the first case is 169, and in the second only 100.</w:t>
      </w:r>
    </w:p>
  </w:footnote>
  <w:footnote w:id="158">
    <w:p w14:paraId="020D8EAD" w14:textId="03690E99" w:rsidR="006E30B5" w:rsidRPr="009F549F" w:rsidRDefault="006E30B5">
      <w:pPr>
        <w:rPr>
          <w:rFonts w:eastAsia="Century Schoolbook"/>
        </w:rPr>
      </w:pPr>
      <w:r w:rsidRPr="009F549F">
        <w:rPr>
          <w:vertAlign w:val="superscript"/>
        </w:rPr>
        <w:footnoteRef/>
      </w:r>
      <w:r w:rsidRPr="009F549F">
        <w:rPr>
          <w:rFonts w:eastAsia="Century Schoolbook"/>
        </w:rPr>
        <w:t xml:space="preserve"> Land, </w:t>
      </w:r>
      <w:r w:rsidRPr="009F549F">
        <w:rPr>
          <w:rFonts w:eastAsia="Century Schoolbook"/>
          <w:i/>
        </w:rPr>
        <w:t>supra</w:t>
      </w:r>
      <w:r w:rsidRPr="009F549F">
        <w:rPr>
          <w:rFonts w:eastAsia="Century Schoolbook"/>
        </w:rPr>
        <w:t xml:space="preserve"> note </w:t>
      </w:r>
      <w:r w:rsidRPr="00036097">
        <w:rPr>
          <w:rFonts w:eastAsia="Century Schoolbook"/>
        </w:rPr>
        <w:fldChar w:fldCharType="begin"/>
      </w:r>
      <w:r w:rsidRPr="00036097">
        <w:rPr>
          <w:rFonts w:eastAsia="Century Schoolbook"/>
        </w:rPr>
        <w:instrText xml:space="preserve"> NOTEREF _Ref115729376 \h  \* MERGEFORMAT </w:instrText>
      </w:r>
      <w:r w:rsidRPr="00036097">
        <w:rPr>
          <w:rFonts w:eastAsia="Century Schoolbook"/>
        </w:rPr>
      </w:r>
      <w:r w:rsidRPr="00036097">
        <w:rPr>
          <w:rFonts w:eastAsia="Century Schoolbook"/>
        </w:rPr>
        <w:fldChar w:fldCharType="separate"/>
      </w:r>
      <w:r>
        <w:rPr>
          <w:rFonts w:eastAsia="Century Schoolbook"/>
        </w:rPr>
        <w:t>24</w:t>
      </w:r>
      <w:r w:rsidRPr="00036097">
        <w:rPr>
          <w:rFonts w:eastAsia="Century Schoolbook"/>
        </w:rPr>
        <w:fldChar w:fldCharType="end"/>
      </w:r>
      <w:r w:rsidRPr="00036097">
        <w:rPr>
          <w:rFonts w:eastAsia="Century Schoolbook"/>
        </w:rPr>
        <w:t>,</w:t>
      </w:r>
      <w:r w:rsidRPr="009F549F">
        <w:rPr>
          <w:rFonts w:eastAsia="Century Schoolbook"/>
        </w:rPr>
        <w:t xml:space="preserve"> at 75–103</w:t>
      </w:r>
      <w:r w:rsidRPr="00036097">
        <w:rPr>
          <w:rFonts w:eastAsia="Century Schoolbook"/>
        </w:rPr>
        <w:t xml:space="preserve">; </w:t>
      </w:r>
      <w:r w:rsidRPr="00036097">
        <w:rPr>
          <w:rFonts w:eastAsia="Century Schoolbook"/>
          <w:i/>
        </w:rPr>
        <w:t>see</w:t>
      </w:r>
      <w:r w:rsidRPr="00036097">
        <w:rPr>
          <w:rFonts w:eastAsia="Century Schoolbook"/>
        </w:rPr>
        <w:t xml:space="preserve"> </w:t>
      </w:r>
      <w:r w:rsidRPr="005071F8">
        <w:rPr>
          <w:rFonts w:eastAsia="Century Schoolbook"/>
          <w:i/>
          <w:iCs/>
        </w:rPr>
        <w:t>also</w:t>
      </w:r>
      <w:r w:rsidRPr="009F549F">
        <w:rPr>
          <w:rFonts w:eastAsia="Century Schoolbook"/>
        </w:rPr>
        <w:t xml:space="preserve"> </w:t>
      </w:r>
      <w:proofErr w:type="spellStart"/>
      <w:r w:rsidRPr="009F549F">
        <w:rPr>
          <w:rFonts w:eastAsia="Century Schoolbook"/>
        </w:rPr>
        <w:t>Gergen</w:t>
      </w:r>
      <w:proofErr w:type="spellEnd"/>
      <w:r w:rsidRPr="009F549F">
        <w:rPr>
          <w:rFonts w:eastAsia="Century Schoolbook"/>
        </w:rPr>
        <w:t xml:space="preserve">, </w:t>
      </w:r>
      <w:r w:rsidRPr="009F549F">
        <w:rPr>
          <w:rFonts w:eastAsia="Century Schoolbook"/>
          <w:i/>
        </w:rPr>
        <w:t xml:space="preserve">supra </w:t>
      </w:r>
      <w:r w:rsidRPr="009F549F">
        <w:rPr>
          <w:rFonts w:eastAsia="Century Schoolbook"/>
        </w:rPr>
        <w:t xml:space="preserve">note </w:t>
      </w:r>
      <w:r w:rsidRPr="00036097">
        <w:rPr>
          <w:rFonts w:eastAsia="Century Schoolbook"/>
        </w:rPr>
        <w:fldChar w:fldCharType="begin"/>
      </w:r>
      <w:r w:rsidRPr="00036097">
        <w:rPr>
          <w:rFonts w:eastAsia="Century Schoolbook"/>
        </w:rPr>
        <w:instrText xml:space="preserve"> NOTEREF _Ref115729323 \h  \* MERGEFORMAT </w:instrText>
      </w:r>
      <w:r w:rsidRPr="00036097">
        <w:rPr>
          <w:rFonts w:eastAsia="Century Schoolbook"/>
        </w:rPr>
      </w:r>
      <w:r w:rsidRPr="00036097">
        <w:rPr>
          <w:rFonts w:eastAsia="Century Schoolbook"/>
        </w:rPr>
        <w:fldChar w:fldCharType="separate"/>
      </w:r>
      <w:r>
        <w:rPr>
          <w:rFonts w:eastAsia="Century Schoolbook"/>
        </w:rPr>
        <w:t>148</w:t>
      </w:r>
      <w:r w:rsidRPr="00036097">
        <w:rPr>
          <w:rFonts w:eastAsia="Century Schoolbook"/>
        </w:rPr>
        <w:fldChar w:fldCharType="end"/>
      </w:r>
      <w:r w:rsidRPr="00036097">
        <w:rPr>
          <w:rFonts w:eastAsia="Century Schoolbook"/>
        </w:rPr>
        <w:t>,</w:t>
      </w:r>
      <w:r w:rsidRPr="009F549F">
        <w:rPr>
          <w:rFonts w:eastAsia="Century Schoolbook"/>
        </w:rPr>
        <w:t xml:space="preserve"> at 235 n.81 (observing that assuming deferred taxes are reinvested at asset’s </w:t>
      </w:r>
      <w:r>
        <w:rPr>
          <w:rFonts w:eastAsia="Century Schoolbook"/>
        </w:rPr>
        <w:t>internal rate of return</w:t>
      </w:r>
      <w:r w:rsidRPr="009F549F">
        <w:rPr>
          <w:rFonts w:eastAsia="Century Schoolbook"/>
        </w:rPr>
        <w:t xml:space="preserve">  “reduces the pretax rate of return by precisely the tax rate</w:t>
      </w:r>
      <w:r w:rsidRPr="00036097">
        <w:rPr>
          <w:rFonts w:eastAsia="Century Schoolbook"/>
        </w:rPr>
        <w:t>”).</w:t>
      </w:r>
    </w:p>
  </w:footnote>
  <w:footnote w:id="159">
    <w:p w14:paraId="5D27398B" w14:textId="2BC9105C" w:rsidR="006E30B5" w:rsidRPr="009F549F" w:rsidRDefault="006E30B5">
      <w:pPr>
        <w:rPr>
          <w:rFonts w:eastAsia="Century Schoolbook"/>
        </w:rPr>
      </w:pPr>
      <w:r w:rsidRPr="009F549F">
        <w:rPr>
          <w:vertAlign w:val="superscript"/>
        </w:rPr>
        <w:footnoteRef/>
      </w:r>
      <w:r w:rsidRPr="009F549F">
        <w:rPr>
          <w:rFonts w:eastAsia="Century Schoolbook"/>
        </w:rPr>
        <w:t xml:space="preserve"> The key assumption is that any tax savings the asset owner achieves through deferral can be reinvested in the asset itself, or another one with the same rate of return. </w:t>
      </w:r>
      <w:r w:rsidRPr="009F549F">
        <w:rPr>
          <w:rFonts w:eastAsia="Century Schoolbook"/>
        </w:rPr>
        <w:t xml:space="preserve">Land, </w:t>
      </w:r>
      <w:r w:rsidRPr="009F549F">
        <w:rPr>
          <w:rFonts w:eastAsia="Century Schoolbook"/>
          <w:i/>
        </w:rPr>
        <w:t>supra</w:t>
      </w:r>
      <w:r w:rsidRPr="009F549F">
        <w:rPr>
          <w:rFonts w:eastAsia="Century Schoolbook"/>
        </w:rPr>
        <w:t xml:space="preserve"> note </w:t>
      </w:r>
      <w:r>
        <w:rPr>
          <w:rFonts w:eastAsia="Century Schoolbook"/>
        </w:rPr>
        <w:fldChar w:fldCharType="begin"/>
      </w:r>
      <w:r>
        <w:rPr>
          <w:rFonts w:eastAsia="Century Schoolbook"/>
        </w:rPr>
        <w:instrText xml:space="preserve"> NOTEREF _Ref115729376 \h </w:instrText>
      </w:r>
      <w:r>
        <w:rPr>
          <w:rFonts w:eastAsia="Century Schoolbook"/>
        </w:rPr>
      </w:r>
      <w:r>
        <w:rPr>
          <w:rFonts w:eastAsia="Century Schoolbook"/>
        </w:rPr>
        <w:fldChar w:fldCharType="separate"/>
      </w:r>
      <w:r>
        <w:rPr>
          <w:rFonts w:eastAsia="Century Schoolbook"/>
        </w:rPr>
        <w:t>24</w:t>
      </w:r>
      <w:r>
        <w:rPr>
          <w:rFonts w:eastAsia="Century Schoolbook"/>
        </w:rPr>
        <w:fldChar w:fldCharType="end"/>
      </w:r>
      <w:r w:rsidRPr="00036097">
        <w:rPr>
          <w:rFonts w:eastAsia="Century Schoolbook"/>
        </w:rPr>
        <w:t>,</w:t>
      </w:r>
      <w:r w:rsidRPr="009F549F">
        <w:rPr>
          <w:rFonts w:eastAsia="Century Schoolbook"/>
        </w:rPr>
        <w:t xml:space="preserve"> at 86. This is generally plausible. For example, if the owner would have sold some of the asset in order to pay tax, and deferral avoids this necessity, then the assumption is met: </w:t>
      </w:r>
      <w:r>
        <w:rPr>
          <w:rFonts w:eastAsia="Century Schoolbook"/>
        </w:rPr>
        <w:t xml:space="preserve">the </w:t>
      </w:r>
      <w:r w:rsidRPr="009F549F">
        <w:rPr>
          <w:rFonts w:eastAsia="Century Schoolbook"/>
        </w:rPr>
        <w:t xml:space="preserve">taxpayer has kept </w:t>
      </w:r>
      <w:r>
        <w:rPr>
          <w:rFonts w:eastAsia="Century Schoolbook"/>
        </w:rPr>
        <w:t>their</w:t>
      </w:r>
      <w:r w:rsidRPr="00036097">
        <w:rPr>
          <w:rFonts w:eastAsia="Century Schoolbook"/>
        </w:rPr>
        <w:t xml:space="preserve"> </w:t>
      </w:r>
      <w:r w:rsidRPr="009F549F">
        <w:rPr>
          <w:rFonts w:eastAsia="Century Schoolbook"/>
        </w:rPr>
        <w:t xml:space="preserve">deferred taxes invested in the same underlying asset. </w:t>
      </w:r>
    </w:p>
  </w:footnote>
  <w:footnote w:id="160">
    <w:p w14:paraId="44D77A44" w14:textId="77777777" w:rsidR="006E30B5" w:rsidRPr="009F549F" w:rsidRDefault="006E30B5">
      <w:pPr>
        <w:rPr>
          <w:rFonts w:eastAsia="Century Schoolbook"/>
        </w:rPr>
      </w:pPr>
      <w:r w:rsidRPr="009F549F">
        <w:rPr>
          <w:vertAlign w:val="superscript"/>
        </w:rPr>
        <w:footnoteRef/>
      </w:r>
      <w:r w:rsidRPr="009F549F">
        <w:rPr>
          <w:rFonts w:eastAsia="Century Schoolbook"/>
        </w:rPr>
        <w:t xml:space="preserve"> </w:t>
      </w:r>
      <w:r w:rsidRPr="009F549F">
        <w:rPr>
          <w:rFonts w:eastAsia="Century Schoolbook"/>
          <w:i/>
        </w:rPr>
        <w:t>Id.</w:t>
      </w:r>
      <w:r w:rsidRPr="009F549F">
        <w:rPr>
          <w:rFonts w:eastAsia="Century Schoolbook"/>
        </w:rPr>
        <w:t xml:space="preserve"> at 84.</w:t>
      </w:r>
    </w:p>
  </w:footnote>
  <w:footnote w:id="161">
    <w:p w14:paraId="197A5B59" w14:textId="5B856D91" w:rsidR="006E30B5" w:rsidRPr="009F549F" w:rsidRDefault="006E30B5">
      <w:pPr>
        <w:pBdr>
          <w:top w:val="nil"/>
          <w:left w:val="nil"/>
          <w:bottom w:val="nil"/>
          <w:right w:val="nil"/>
          <w:between w:val="nil"/>
        </w:pBdr>
        <w:rPr>
          <w:rFonts w:eastAsia="Century Schoolbook"/>
          <w:color w:val="000000"/>
        </w:rPr>
      </w:pPr>
      <w:r w:rsidRPr="009F549F">
        <w:rPr>
          <w:vertAlign w:val="superscript"/>
        </w:rPr>
        <w:footnoteRef/>
      </w:r>
      <w:r w:rsidRPr="009F549F">
        <w:rPr>
          <w:rFonts w:eastAsia="Century Schoolbook"/>
          <w:color w:val="000000"/>
        </w:rPr>
        <w:t xml:space="preserve"> </w:t>
      </w:r>
      <w:r w:rsidRPr="005D7BFA">
        <w:rPr>
          <w:rFonts w:eastAsia="Century Schoolbook"/>
          <w:i/>
          <w:color w:val="000000"/>
        </w:rPr>
        <w:t xml:space="preserve">See </w:t>
      </w:r>
      <w:r w:rsidRPr="005D7BFA">
        <w:rPr>
          <w:rFonts w:eastAsia="Century Schoolbook"/>
          <w:i/>
          <w:iCs/>
          <w:color w:val="000000"/>
        </w:rPr>
        <w:t>i</w:t>
      </w:r>
      <w:r w:rsidRPr="00036097">
        <w:rPr>
          <w:rFonts w:eastAsia="Century Schoolbook"/>
          <w:i/>
          <w:color w:val="000000"/>
        </w:rPr>
        <w:t>d</w:t>
      </w:r>
      <w:r w:rsidRPr="009F549F">
        <w:rPr>
          <w:rFonts w:eastAsia="Century Schoolbook"/>
          <w:i/>
          <w:color w:val="000000"/>
        </w:rPr>
        <w:t>.</w:t>
      </w:r>
      <w:r w:rsidRPr="009F549F">
        <w:rPr>
          <w:rFonts w:eastAsia="Century Schoolbook"/>
          <w:color w:val="000000"/>
        </w:rPr>
        <w:t xml:space="preserve"> at 86–109.</w:t>
      </w:r>
      <w:r w:rsidRPr="005071F8">
        <w:rPr>
          <w:rFonts w:eastAsia="Century Schoolbook"/>
          <w:bCs/>
          <w:color w:val="000000"/>
        </w:rPr>
        <w:t xml:space="preserve"> </w:t>
      </w:r>
    </w:p>
  </w:footnote>
  <w:footnote w:id="162">
    <w:p w14:paraId="060F143E" w14:textId="0DB1BAA5" w:rsidR="006E30B5" w:rsidRPr="009F549F" w:rsidRDefault="006E30B5">
      <w:pPr>
        <w:pBdr>
          <w:top w:val="nil"/>
          <w:left w:val="nil"/>
          <w:bottom w:val="nil"/>
          <w:right w:val="nil"/>
          <w:between w:val="nil"/>
        </w:pBdr>
        <w:rPr>
          <w:rFonts w:eastAsia="Century Schoolbook"/>
          <w:color w:val="000000"/>
        </w:rPr>
      </w:pPr>
      <w:r w:rsidRPr="009F549F">
        <w:rPr>
          <w:vertAlign w:val="superscript"/>
        </w:rPr>
        <w:footnoteRef/>
      </w:r>
      <w:r w:rsidRPr="009F549F">
        <w:rPr>
          <w:rFonts w:eastAsia="Century Schoolbook"/>
          <w:color w:val="000000"/>
        </w:rPr>
        <w:t xml:space="preserve"> </w:t>
      </w:r>
      <w:r w:rsidRPr="009F549F">
        <w:rPr>
          <w:rFonts w:eastAsia="Century Schoolbook"/>
          <w:i/>
          <w:color w:val="000000"/>
        </w:rPr>
        <w:t>Id.</w:t>
      </w:r>
      <w:r w:rsidRPr="005071F8">
        <w:rPr>
          <w:rFonts w:eastAsia="Century Schoolbook"/>
          <w:b/>
          <w:bCs/>
          <w:i/>
          <w:color w:val="000000"/>
        </w:rPr>
        <w:t xml:space="preserve"> </w:t>
      </w:r>
    </w:p>
  </w:footnote>
  <w:footnote w:id="163">
    <w:p w14:paraId="0B8836C3" w14:textId="09F270CD" w:rsidR="006E30B5" w:rsidRPr="009F549F" w:rsidRDefault="006E30B5">
      <w:pPr>
        <w:pBdr>
          <w:top w:val="nil"/>
          <w:left w:val="nil"/>
          <w:bottom w:val="nil"/>
          <w:right w:val="nil"/>
          <w:between w:val="nil"/>
        </w:pBdr>
        <w:rPr>
          <w:rFonts w:eastAsia="Century Schoolbook"/>
          <w:color w:val="000000"/>
        </w:rPr>
      </w:pPr>
      <w:r w:rsidRPr="009F549F">
        <w:rPr>
          <w:vertAlign w:val="superscript"/>
        </w:rPr>
        <w:footnoteRef/>
      </w:r>
      <w:r w:rsidRPr="009F549F">
        <w:rPr>
          <w:rFonts w:eastAsia="Century Schoolbook"/>
          <w:color w:val="000000"/>
        </w:rPr>
        <w:t xml:space="preserve"> Land’s explanation of why this occurs is opaque. </w:t>
      </w:r>
      <w:r w:rsidRPr="00036097">
        <w:rPr>
          <w:rFonts w:eastAsia="Century Schoolbook"/>
          <w:color w:val="000000"/>
        </w:rPr>
        <w:t>It</w:t>
      </w:r>
      <w:r>
        <w:rPr>
          <w:rFonts w:eastAsia="Century Schoolbook"/>
          <w:color w:val="000000"/>
        </w:rPr>
        <w:t xml:space="preserve"> i</w:t>
      </w:r>
      <w:r w:rsidRPr="00036097">
        <w:rPr>
          <w:rFonts w:eastAsia="Century Schoolbook"/>
          <w:color w:val="000000"/>
        </w:rPr>
        <w:t>s</w:t>
      </w:r>
      <w:r w:rsidRPr="009F549F">
        <w:rPr>
          <w:rFonts w:eastAsia="Century Schoolbook"/>
          <w:color w:val="000000"/>
        </w:rPr>
        <w:t xml:space="preserve"> a result of the fact that an equity stake gives the government compound interest at the asset’s internal rate of return</w:t>
      </w:r>
      <w:r>
        <w:rPr>
          <w:rFonts w:eastAsia="Century Schoolbook"/>
          <w:color w:val="000000"/>
        </w:rPr>
        <w:t>. Because the compound interest formula includes a logarithmic function,</w:t>
      </w:r>
      <w:r w:rsidRPr="009F549F">
        <w:rPr>
          <w:rFonts w:eastAsia="Century Schoolbook"/>
          <w:color w:val="000000"/>
        </w:rPr>
        <w:t xml:space="preserve"> the tax increases logarithmically with that rate of return. Thus</w:t>
      </w:r>
      <w:r>
        <w:rPr>
          <w:rFonts w:eastAsia="Century Schoolbook"/>
          <w:color w:val="000000"/>
        </w:rPr>
        <w:t>,</w:t>
      </w:r>
      <w:r w:rsidRPr="009F549F">
        <w:rPr>
          <w:rFonts w:eastAsia="Century Schoolbook"/>
          <w:color w:val="000000"/>
        </w:rPr>
        <w:t xml:space="preserve"> an asset returning 20</w:t>
      </w:r>
      <w:r>
        <w:rPr>
          <w:rFonts w:eastAsia="Century Schoolbook"/>
          <w:color w:val="000000"/>
        </w:rPr>
        <w:t xml:space="preserve"> percent</w:t>
      </w:r>
      <w:r w:rsidRPr="009F549F">
        <w:rPr>
          <w:rFonts w:eastAsia="Century Schoolbook"/>
          <w:color w:val="000000"/>
        </w:rPr>
        <w:t xml:space="preserve"> will result in a retrospective charge that is more than twice the charge on an asset returning 10</w:t>
      </w:r>
      <w:r>
        <w:rPr>
          <w:rFonts w:eastAsia="Century Schoolbook"/>
          <w:color w:val="000000"/>
        </w:rPr>
        <w:t xml:space="preserve"> percent</w:t>
      </w:r>
      <w:r w:rsidRPr="009F549F">
        <w:rPr>
          <w:rFonts w:eastAsia="Century Schoolbook"/>
          <w:color w:val="000000"/>
        </w:rPr>
        <w:t xml:space="preserve">. This nonlinearity then interacts with the equity method’s choice of the rate of return. The equity method aims to make taxpayer indifferent between deferral and paying tax immediately. It presumes that deferral allows taxpayer to reinvest the deferred tax on an asset at the asset’s own rate of return (or, equivalently, that taxpayer would have to sell some of the asset to pay tax immediately). </w:t>
      </w:r>
      <w:r>
        <w:rPr>
          <w:rFonts w:eastAsia="Century Schoolbook"/>
          <w:color w:val="000000"/>
        </w:rPr>
        <w:t>B</w:t>
      </w:r>
      <w:r w:rsidRPr="009F549F">
        <w:rPr>
          <w:rFonts w:eastAsia="Century Schoolbook"/>
          <w:color w:val="000000"/>
        </w:rPr>
        <w:t xml:space="preserve">y bundling assets with different rates of return together, </w:t>
      </w:r>
      <w:r>
        <w:rPr>
          <w:rFonts w:eastAsia="Century Schoolbook"/>
          <w:color w:val="000000"/>
        </w:rPr>
        <w:t xml:space="preserve">however, </w:t>
      </w:r>
      <w:r w:rsidRPr="009F549F">
        <w:rPr>
          <w:rFonts w:eastAsia="Century Schoolbook"/>
          <w:color w:val="000000"/>
        </w:rPr>
        <w:t>taxpayers could potentially strategically manipulate this rate.</w:t>
      </w:r>
    </w:p>
  </w:footnote>
  <w:footnote w:id="164">
    <w:p w14:paraId="03A99F13" w14:textId="479E0E0E" w:rsidR="006E30B5" w:rsidRPr="009F549F" w:rsidRDefault="006E30B5">
      <w:pPr>
        <w:pBdr>
          <w:top w:val="nil"/>
          <w:left w:val="nil"/>
          <w:bottom w:val="nil"/>
          <w:right w:val="nil"/>
          <w:between w:val="nil"/>
        </w:pBdr>
        <w:rPr>
          <w:rFonts w:eastAsia="Century Schoolbook"/>
          <w:color w:val="000000"/>
        </w:rPr>
      </w:pPr>
      <w:r w:rsidRPr="009F549F">
        <w:rPr>
          <w:vertAlign w:val="superscript"/>
        </w:rPr>
        <w:footnoteRef/>
      </w:r>
      <w:r w:rsidRPr="009F549F">
        <w:rPr>
          <w:rFonts w:eastAsia="Century Schoolbook"/>
          <w:color w:val="000000"/>
        </w:rPr>
        <w:t xml:space="preserve"> </w:t>
      </w:r>
      <w:r w:rsidRPr="00036097">
        <w:rPr>
          <w:rFonts w:eastAsia="Century Schoolbook"/>
        </w:rPr>
        <w:t xml:space="preserve">Land, </w:t>
      </w:r>
      <w:r w:rsidRPr="00036097">
        <w:rPr>
          <w:rFonts w:eastAsia="Century Schoolbook"/>
          <w:i/>
        </w:rPr>
        <w:t>supra</w:t>
      </w:r>
      <w:r w:rsidRPr="00036097">
        <w:rPr>
          <w:rFonts w:eastAsia="Century Schoolbook"/>
        </w:rPr>
        <w:t xml:space="preserve"> note </w:t>
      </w:r>
      <w:r>
        <w:rPr>
          <w:rFonts w:eastAsia="Century Schoolbook"/>
        </w:rPr>
        <w:fldChar w:fldCharType="begin"/>
      </w:r>
      <w:r>
        <w:rPr>
          <w:rFonts w:eastAsia="Century Schoolbook"/>
        </w:rPr>
        <w:instrText xml:space="preserve"> NOTEREF _Ref115729376 \h </w:instrText>
      </w:r>
      <w:r>
        <w:rPr>
          <w:rFonts w:eastAsia="Century Schoolbook"/>
        </w:rPr>
      </w:r>
      <w:r>
        <w:rPr>
          <w:rFonts w:eastAsia="Century Schoolbook"/>
        </w:rPr>
        <w:fldChar w:fldCharType="separate"/>
      </w:r>
      <w:r>
        <w:rPr>
          <w:rFonts w:eastAsia="Century Schoolbook"/>
        </w:rPr>
        <w:t>24</w:t>
      </w:r>
      <w:r>
        <w:rPr>
          <w:rFonts w:eastAsia="Century Schoolbook"/>
        </w:rPr>
        <w:fldChar w:fldCharType="end"/>
      </w:r>
      <w:r w:rsidRPr="00036097">
        <w:rPr>
          <w:rFonts w:eastAsia="Century Schoolbook"/>
        </w:rPr>
        <w:t>,</w:t>
      </w:r>
      <w:r w:rsidRPr="009F549F" w:rsidDel="00405ACF">
        <w:rPr>
          <w:rFonts w:eastAsia="Century Schoolbook"/>
        </w:rPr>
        <w:t xml:space="preserve"> </w:t>
      </w:r>
      <w:r w:rsidRPr="009F549F">
        <w:rPr>
          <w:rFonts w:eastAsia="Century Schoolbook"/>
          <w:color w:val="000000"/>
        </w:rPr>
        <w:t>at 97–101.</w:t>
      </w:r>
    </w:p>
  </w:footnote>
  <w:footnote w:id="165">
    <w:p w14:paraId="1D485347" w14:textId="76399091" w:rsidR="006E30B5" w:rsidRPr="009F549F" w:rsidRDefault="006E30B5">
      <w:pPr>
        <w:pBdr>
          <w:top w:val="nil"/>
          <w:left w:val="nil"/>
          <w:bottom w:val="nil"/>
          <w:right w:val="nil"/>
          <w:between w:val="nil"/>
        </w:pBdr>
        <w:rPr>
          <w:rFonts w:eastAsia="Century Schoolbook"/>
          <w:color w:val="000000"/>
        </w:rPr>
      </w:pPr>
      <w:r w:rsidRPr="009F549F">
        <w:rPr>
          <w:vertAlign w:val="superscript"/>
        </w:rPr>
        <w:footnoteRef/>
      </w:r>
      <w:r w:rsidRPr="009F549F">
        <w:rPr>
          <w:rFonts w:eastAsia="Century Schoolbook"/>
          <w:color w:val="000000"/>
        </w:rPr>
        <w:t xml:space="preserve"> </w:t>
      </w:r>
      <w:r w:rsidRPr="009F549F">
        <w:rPr>
          <w:rFonts w:eastAsia="Century Schoolbook"/>
          <w:i/>
          <w:color w:val="000000"/>
        </w:rPr>
        <w:t>Id.</w:t>
      </w:r>
      <w:r w:rsidRPr="009F549F">
        <w:rPr>
          <w:rFonts w:eastAsia="Century Schoolbook"/>
          <w:color w:val="000000"/>
        </w:rPr>
        <w:t xml:space="preserve"> at 104–09</w:t>
      </w:r>
      <w:r w:rsidRPr="00036097">
        <w:rPr>
          <w:rFonts w:eastAsia="Century Schoolbook"/>
          <w:color w:val="000000"/>
        </w:rPr>
        <w:t>.</w:t>
      </w:r>
    </w:p>
  </w:footnote>
  <w:footnote w:id="166">
    <w:p w14:paraId="7AAF872F" w14:textId="027B1A7C" w:rsidR="006E30B5" w:rsidRPr="009F549F" w:rsidRDefault="006E30B5">
      <w:pPr>
        <w:pBdr>
          <w:top w:val="nil"/>
          <w:left w:val="nil"/>
          <w:bottom w:val="nil"/>
          <w:right w:val="nil"/>
          <w:between w:val="nil"/>
        </w:pBdr>
        <w:rPr>
          <w:rFonts w:eastAsia="Century Schoolbook"/>
          <w:color w:val="000000"/>
        </w:rPr>
      </w:pPr>
      <w:r w:rsidRPr="009F549F">
        <w:rPr>
          <w:vertAlign w:val="superscript"/>
        </w:rPr>
        <w:footnoteRef/>
      </w:r>
      <w:r w:rsidRPr="009F549F">
        <w:rPr>
          <w:rFonts w:eastAsia="Century Schoolbook"/>
          <w:color w:val="000000"/>
        </w:rPr>
        <w:t xml:space="preserve"> </w:t>
      </w:r>
      <w:proofErr w:type="spellStart"/>
      <w:r w:rsidRPr="009F549F">
        <w:rPr>
          <w:rFonts w:eastAsia="Century Schoolbook"/>
          <w:color w:val="000000"/>
        </w:rPr>
        <w:t>Glogower</w:t>
      </w:r>
      <w:proofErr w:type="spellEnd"/>
      <w:r w:rsidRPr="009F549F">
        <w:rPr>
          <w:rFonts w:eastAsia="Century Schoolbook"/>
          <w:color w:val="000000"/>
        </w:rPr>
        <w:t xml:space="preserve">, </w:t>
      </w:r>
      <w:r w:rsidRPr="009F549F">
        <w:rPr>
          <w:rFonts w:eastAsia="Century Schoolbook"/>
          <w:i/>
          <w:color w:val="000000"/>
        </w:rPr>
        <w:t>supra</w:t>
      </w:r>
      <w:r w:rsidRPr="009F549F">
        <w:rPr>
          <w:rFonts w:eastAsia="Century Schoolbook"/>
          <w:color w:val="000000"/>
        </w:rPr>
        <w:t xml:space="preserve"> note </w:t>
      </w:r>
      <w:r w:rsidRPr="00036097">
        <w:rPr>
          <w:rFonts w:eastAsia="Century Schoolbook"/>
          <w:color w:val="000000"/>
        </w:rPr>
        <w:fldChar w:fldCharType="begin"/>
      </w:r>
      <w:r w:rsidRPr="00036097">
        <w:rPr>
          <w:rFonts w:eastAsia="Century Schoolbook"/>
          <w:color w:val="000000"/>
        </w:rPr>
        <w:instrText xml:space="preserve"> NOTEREF _Ref115603608 \h  \* MERGEFORMAT </w:instrText>
      </w:r>
      <w:r w:rsidRPr="00036097">
        <w:rPr>
          <w:rFonts w:eastAsia="Century Schoolbook"/>
          <w:color w:val="000000"/>
        </w:rPr>
      </w:r>
      <w:r w:rsidRPr="00036097">
        <w:rPr>
          <w:rFonts w:eastAsia="Century Schoolbook"/>
          <w:color w:val="000000"/>
        </w:rPr>
        <w:fldChar w:fldCharType="separate"/>
      </w:r>
      <w:r>
        <w:rPr>
          <w:rFonts w:eastAsia="Century Schoolbook"/>
          <w:color w:val="000000"/>
        </w:rPr>
        <w:t>64</w:t>
      </w:r>
      <w:r w:rsidRPr="00036097">
        <w:rPr>
          <w:rFonts w:eastAsia="Century Schoolbook"/>
          <w:color w:val="000000"/>
        </w:rPr>
        <w:fldChar w:fldCharType="end"/>
      </w:r>
      <w:r w:rsidRPr="00036097">
        <w:rPr>
          <w:rFonts w:eastAsia="Century Schoolbook"/>
          <w:color w:val="000000"/>
        </w:rPr>
        <w:t>,</w:t>
      </w:r>
      <w:r w:rsidRPr="009F549F">
        <w:rPr>
          <w:rFonts w:eastAsia="Century Schoolbook"/>
          <w:color w:val="000000"/>
        </w:rPr>
        <w:t xml:space="preserve"> at 138.</w:t>
      </w:r>
    </w:p>
  </w:footnote>
  <w:footnote w:id="167">
    <w:p w14:paraId="3AE1FF59" w14:textId="47B3B43A" w:rsidR="006E30B5" w:rsidRPr="009F549F" w:rsidRDefault="006E30B5">
      <w:pPr>
        <w:rPr>
          <w:rFonts w:eastAsia="Century Schoolbook"/>
        </w:rPr>
      </w:pPr>
      <w:r w:rsidRPr="009F549F">
        <w:rPr>
          <w:vertAlign w:val="superscript"/>
        </w:rPr>
        <w:footnoteRef/>
      </w:r>
      <w:r w:rsidRPr="009F549F">
        <w:rPr>
          <w:rFonts w:eastAsia="Century Schoolbook"/>
        </w:rPr>
        <w:t xml:space="preserve"> Michael S. Knoll, </w:t>
      </w:r>
      <w:r w:rsidRPr="009F549F">
        <w:rPr>
          <w:rFonts w:eastAsia="Century Schoolbook"/>
          <w:i/>
        </w:rPr>
        <w:t>Financial Innovation, Tax Arbitrage, and Retrospective Taxation: The Problem with Passive Government Lending</w:t>
      </w:r>
      <w:r w:rsidRPr="009F549F">
        <w:rPr>
          <w:rFonts w:eastAsia="Century Schoolbook"/>
        </w:rPr>
        <w:t xml:space="preserve">, 52 </w:t>
      </w:r>
      <w:r w:rsidRPr="009F549F">
        <w:rPr>
          <w:rFonts w:eastAsia="Century Schoolbook"/>
          <w:smallCaps/>
        </w:rPr>
        <w:t>Tax L. Rev.</w:t>
      </w:r>
      <w:r w:rsidRPr="009F549F">
        <w:rPr>
          <w:rFonts w:eastAsia="Century Schoolbook"/>
        </w:rPr>
        <w:t xml:space="preserve"> 199, 215–16 (1997). </w:t>
      </w:r>
      <w:r w:rsidRPr="009F549F">
        <w:rPr>
          <w:rFonts w:eastAsia="Century Schoolbook"/>
        </w:rPr>
        <w:t>However, Land’s approach improves over other retrospective methods in this respect because his formula will never impose a tax of greater than the asset’s sale price, while with an interest charge it is theoretically possible for interest to exceed 100</w:t>
      </w:r>
      <w:r>
        <w:rPr>
          <w:rFonts w:eastAsia="Century Schoolbook"/>
        </w:rPr>
        <w:t xml:space="preserve"> percent</w:t>
      </w:r>
      <w:r w:rsidRPr="009F549F">
        <w:rPr>
          <w:rFonts w:eastAsia="Century Schoolbook"/>
        </w:rPr>
        <w:t xml:space="preserve"> of the asset’s value. </w:t>
      </w:r>
    </w:p>
  </w:footnote>
  <w:footnote w:id="168">
    <w:p w14:paraId="0B0DDB1E" w14:textId="2F85D19C" w:rsidR="006E30B5" w:rsidRDefault="006E30B5">
      <w:pPr>
        <w:rPr>
          <w:rFonts w:ascii="Century Schoolbook" w:eastAsia="Century Schoolbook" w:hAnsi="Century Schoolbook" w:cs="Century Schoolbook"/>
          <w:color w:val="000000"/>
          <w:sz w:val="20"/>
          <w:szCs w:val="20"/>
        </w:rPr>
      </w:pPr>
      <w:r>
        <w:rPr>
          <w:rStyle w:val="FootnoteReference"/>
          <w:rFonts w:ascii="Arial" w:eastAsia="Arial" w:hAnsi="Arial" w:cs="Arial"/>
          <w:sz w:val="20"/>
          <w:szCs w:val="20"/>
          <w:lang w:val="en"/>
        </w:rPr>
        <w:footnoteRef/>
      </w:r>
      <w:r w:rsidRPr="009F549F">
        <w:rPr>
          <w:rFonts w:eastAsia="Century Schoolbook"/>
        </w:rPr>
        <w:t xml:space="preserve"> </w:t>
      </w:r>
      <w:r w:rsidRPr="009F549F">
        <w:rPr>
          <w:rFonts w:eastAsia="Century Schoolbook"/>
          <w:i/>
        </w:rPr>
        <w:t>See</w:t>
      </w:r>
      <w:r w:rsidRPr="009F549F">
        <w:rPr>
          <w:rFonts w:eastAsia="Century Schoolbook"/>
        </w:rPr>
        <w:t xml:space="preserve"> Land,</w:t>
      </w:r>
      <w:r w:rsidRPr="009F549F">
        <w:rPr>
          <w:rFonts w:eastAsia="Century Schoolbook"/>
          <w:i/>
        </w:rPr>
        <w:t xml:space="preserve"> supra</w:t>
      </w:r>
      <w:r w:rsidRPr="009F549F">
        <w:rPr>
          <w:rFonts w:eastAsia="Century Schoolbook"/>
        </w:rPr>
        <w:t xml:space="preserve"> note </w:t>
      </w:r>
      <w:r w:rsidRPr="00036097">
        <w:rPr>
          <w:rFonts w:eastAsia="Century Schoolbook"/>
        </w:rPr>
        <w:fldChar w:fldCharType="begin"/>
      </w:r>
      <w:r w:rsidRPr="00036097">
        <w:rPr>
          <w:rFonts w:eastAsia="Century Schoolbook"/>
        </w:rPr>
        <w:instrText xml:space="preserve"> NOTEREF _Ref115729376 \h  \* MERGEFORMAT </w:instrText>
      </w:r>
      <w:r w:rsidRPr="00036097">
        <w:rPr>
          <w:rFonts w:eastAsia="Century Schoolbook"/>
        </w:rPr>
      </w:r>
      <w:r w:rsidRPr="00036097">
        <w:rPr>
          <w:rFonts w:eastAsia="Century Schoolbook"/>
        </w:rPr>
        <w:fldChar w:fldCharType="separate"/>
      </w:r>
      <w:r>
        <w:rPr>
          <w:rFonts w:eastAsia="Century Schoolbook"/>
        </w:rPr>
        <w:t>24</w:t>
      </w:r>
      <w:r w:rsidRPr="00036097">
        <w:rPr>
          <w:rFonts w:eastAsia="Century Schoolbook"/>
        </w:rPr>
        <w:fldChar w:fldCharType="end"/>
      </w:r>
      <w:r w:rsidRPr="00036097">
        <w:rPr>
          <w:rFonts w:eastAsia="Century Schoolbook"/>
        </w:rPr>
        <w:t>,</w:t>
      </w:r>
      <w:r w:rsidRPr="009F549F">
        <w:rPr>
          <w:rFonts w:eastAsia="Century Schoolbook"/>
        </w:rPr>
        <w:t xml:space="preserve"> at 84 (describing his approach as a form of government equity interest).</w:t>
      </w:r>
      <w:r>
        <w:rPr>
          <w:rFonts w:ascii="Century Schoolbook" w:eastAsia="Century Schoolbook" w:hAnsi="Century Schoolbook" w:cs="Century Schoolbook"/>
          <w:sz w:val="20"/>
          <w:szCs w:val="20"/>
        </w:rPr>
        <w:t xml:space="preserve"> </w:t>
      </w:r>
      <w:r>
        <w:rPr>
          <w:rFonts w:ascii="Century Schoolbook" w:eastAsia="Century Schoolbook" w:hAnsi="Century Schoolbook" w:cs="Century Schoolbook"/>
          <w:i/>
          <w:iCs/>
          <w:color w:val="000000"/>
          <w:sz w:val="20"/>
          <w:szCs w:val="20"/>
        </w:rPr>
        <w:t>See also</w:t>
      </w:r>
      <w:r>
        <w:rPr>
          <w:rFonts w:ascii="Century Schoolbook" w:eastAsia="Century Schoolbook" w:hAnsi="Century Schoolbook" w:cs="Century Schoolbook"/>
          <w:color w:val="000000"/>
          <w:sz w:val="20"/>
          <w:szCs w:val="20"/>
        </w:rPr>
        <w:t xml:space="preserve"> the Technical Appendix, </w:t>
      </w:r>
      <w:r>
        <w:rPr>
          <w:rFonts w:ascii="Century Schoolbook" w:eastAsia="Century Schoolbook" w:hAnsi="Century Schoolbook" w:cs="Century Schoolbook"/>
          <w:i/>
          <w:iCs/>
          <w:color w:val="000000"/>
          <w:sz w:val="20"/>
          <w:szCs w:val="20"/>
        </w:rPr>
        <w:t>infra</w:t>
      </w:r>
      <w:r>
        <w:rPr>
          <w:rFonts w:ascii="Century Schoolbook" w:eastAsia="Century Schoolbook" w:hAnsi="Century Schoolbook" w:cs="Century Schoolbook"/>
          <w:color w:val="000000"/>
          <w:sz w:val="20"/>
          <w:szCs w:val="20"/>
        </w:rPr>
        <w:t>, for further discussion of how Land’s proposal would be unadministrable and exploitable through taxpayer gaming in practice, and how integrating Land’s approach with ULTRAs could resolve these problems.</w:t>
      </w:r>
    </w:p>
    <w:p w14:paraId="14C637B0" w14:textId="583E9DB8" w:rsidR="006E30B5" w:rsidRPr="009F549F" w:rsidRDefault="006E30B5">
      <w:pPr>
        <w:rPr>
          <w:rFonts w:eastAsia="Century Schoolbook"/>
          <w:i/>
          <w:iCs/>
        </w:rPr>
      </w:pPr>
      <w:r>
        <w:rPr>
          <w:rFonts w:ascii="Century Schoolbook" w:eastAsia="Century Schoolbook" w:hAnsi="Century Schoolbook" w:cs="Century Schoolbook"/>
          <w:color w:val="000000"/>
          <w:sz w:val="20"/>
          <w:szCs w:val="20"/>
        </w:rPr>
        <w:tab/>
        <w:t xml:space="preserve">Another prior proposal that our ULTRA method bears a similar philosophical resemblance to is Herwig J. </w:t>
      </w:r>
      <w:proofErr w:type="spellStart"/>
      <w:r>
        <w:rPr>
          <w:rFonts w:ascii="Century Schoolbook" w:eastAsia="Century Schoolbook" w:hAnsi="Century Schoolbook" w:cs="Century Schoolbook"/>
          <w:color w:val="000000"/>
          <w:sz w:val="20"/>
          <w:szCs w:val="20"/>
        </w:rPr>
        <w:t>Schlunk</w:t>
      </w:r>
      <w:proofErr w:type="spellEnd"/>
      <w:r>
        <w:rPr>
          <w:rFonts w:ascii="Century Schoolbook" w:eastAsia="Century Schoolbook" w:hAnsi="Century Schoolbook" w:cs="Century Schoolbook"/>
          <w:color w:val="000000"/>
          <w:sz w:val="20"/>
          <w:szCs w:val="20"/>
        </w:rPr>
        <w:t xml:space="preserve">, </w:t>
      </w:r>
      <w:r w:rsidRPr="009F549F">
        <w:rPr>
          <w:rFonts w:ascii="Century Schoolbook" w:eastAsia="Century Schoolbook" w:hAnsi="Century Schoolbook" w:cs="Century Schoolbook"/>
          <w:i/>
          <w:iCs/>
          <w:color w:val="000000"/>
          <w:sz w:val="20"/>
          <w:szCs w:val="20"/>
        </w:rPr>
        <w:t>The Cashless Corporate Tax</w:t>
      </w:r>
      <w:r w:rsidRPr="00A74DBB">
        <w:rPr>
          <w:rFonts w:ascii="Century Schoolbook" w:eastAsia="Century Schoolbook" w:hAnsi="Century Schoolbook" w:cs="Century Schoolbook"/>
          <w:color w:val="000000"/>
          <w:sz w:val="20"/>
          <w:szCs w:val="20"/>
        </w:rPr>
        <w:t xml:space="preserve">, 55 </w:t>
      </w:r>
      <w:r w:rsidRPr="009F549F">
        <w:rPr>
          <w:rFonts w:ascii="Century Schoolbook" w:eastAsia="Century Schoolbook" w:hAnsi="Century Schoolbook" w:cs="Century Schoolbook"/>
          <w:smallCaps/>
          <w:color w:val="000000"/>
          <w:sz w:val="20"/>
          <w:szCs w:val="20"/>
        </w:rPr>
        <w:t xml:space="preserve">Tax Law Rev. </w:t>
      </w:r>
      <w:r w:rsidRPr="00A74DBB">
        <w:rPr>
          <w:rFonts w:ascii="Century Schoolbook" w:eastAsia="Century Schoolbook" w:hAnsi="Century Schoolbook" w:cs="Century Schoolbook"/>
          <w:color w:val="000000"/>
          <w:sz w:val="20"/>
          <w:szCs w:val="20"/>
        </w:rPr>
        <w:t>1 (2001)</w:t>
      </w:r>
      <w:r>
        <w:rPr>
          <w:rFonts w:ascii="Century Schoolbook" w:eastAsia="Century Schoolbook" w:hAnsi="Century Schoolbook" w:cs="Century Schoolbook"/>
          <w:color w:val="000000"/>
          <w:sz w:val="20"/>
          <w:szCs w:val="20"/>
        </w:rPr>
        <w:t xml:space="preserve"> (proposing replacing the existing corporate income tax with an approach that would involve the government taking direct ownership interests). However, </w:t>
      </w:r>
      <w:proofErr w:type="spellStart"/>
      <w:r>
        <w:rPr>
          <w:rFonts w:ascii="Century Schoolbook" w:eastAsia="Century Schoolbook" w:hAnsi="Century Schoolbook" w:cs="Century Schoolbook"/>
          <w:color w:val="000000"/>
          <w:sz w:val="20"/>
          <w:szCs w:val="20"/>
        </w:rPr>
        <w:t>Schlunk’s</w:t>
      </w:r>
      <w:proofErr w:type="spellEnd"/>
      <w:r>
        <w:rPr>
          <w:rFonts w:ascii="Century Schoolbook" w:eastAsia="Century Schoolbook" w:hAnsi="Century Schoolbook" w:cs="Century Schoolbook"/>
          <w:color w:val="000000"/>
          <w:sz w:val="20"/>
          <w:szCs w:val="20"/>
        </w:rPr>
        <w:t xml:space="preserve"> corporate income tax application is sufficiently different from the applications we discuss in this Article, and with the mechanics of </w:t>
      </w:r>
      <w:proofErr w:type="spellStart"/>
      <w:r>
        <w:rPr>
          <w:rFonts w:ascii="Century Schoolbook" w:eastAsia="Century Schoolbook" w:hAnsi="Century Schoolbook" w:cs="Century Schoolbook"/>
          <w:color w:val="000000"/>
          <w:sz w:val="20"/>
          <w:szCs w:val="20"/>
        </w:rPr>
        <w:t>Schlunk’s</w:t>
      </w:r>
      <w:proofErr w:type="spellEnd"/>
      <w:r>
        <w:rPr>
          <w:rFonts w:ascii="Century Schoolbook" w:eastAsia="Century Schoolbook" w:hAnsi="Century Schoolbook" w:cs="Century Schoolbook"/>
          <w:color w:val="000000"/>
          <w:sz w:val="20"/>
          <w:szCs w:val="20"/>
        </w:rPr>
        <w:t xml:space="preserve"> proposal accordingly being quite different from ours, that our ULTRA method has little in common with </w:t>
      </w:r>
      <w:proofErr w:type="spellStart"/>
      <w:r>
        <w:rPr>
          <w:rFonts w:ascii="Century Schoolbook" w:eastAsia="Century Schoolbook" w:hAnsi="Century Schoolbook" w:cs="Century Schoolbook"/>
          <w:color w:val="000000"/>
          <w:sz w:val="20"/>
          <w:szCs w:val="20"/>
        </w:rPr>
        <w:t>Schlunk’s</w:t>
      </w:r>
      <w:proofErr w:type="spellEnd"/>
      <w:r>
        <w:rPr>
          <w:rFonts w:ascii="Century Schoolbook" w:eastAsia="Century Schoolbook" w:hAnsi="Century Schoolbook" w:cs="Century Schoolbook"/>
          <w:color w:val="000000"/>
          <w:sz w:val="20"/>
          <w:szCs w:val="20"/>
        </w:rPr>
        <w:t xml:space="preserve"> proposal beyond this philosophical similarity. </w:t>
      </w:r>
    </w:p>
  </w:footnote>
  <w:footnote w:id="169">
    <w:p w14:paraId="2D9BC2F3" w14:textId="5FC28EF1" w:rsidR="006E30B5" w:rsidRPr="009F549F" w:rsidRDefault="006E30B5">
      <w:pPr>
        <w:rPr>
          <w:rFonts w:eastAsia="Century Schoolbook"/>
        </w:rPr>
      </w:pPr>
      <w:r w:rsidRPr="009F549F">
        <w:rPr>
          <w:vertAlign w:val="superscript"/>
        </w:rPr>
        <w:footnoteRef/>
      </w:r>
      <w:r w:rsidRPr="00036097">
        <w:rPr>
          <w:rFonts w:eastAsia="Century Schoolbook"/>
        </w:rPr>
        <w:t xml:space="preserve"> </w:t>
      </w:r>
      <w:r>
        <w:rPr>
          <w:rFonts w:eastAsia="Century Schoolbook"/>
          <w:i/>
          <w:iCs/>
        </w:rPr>
        <w:t>See generally</w:t>
      </w:r>
      <w:r w:rsidRPr="009F549F">
        <w:rPr>
          <w:rFonts w:eastAsia="Century Schoolbook"/>
          <w:i/>
        </w:rPr>
        <w:t xml:space="preserve"> </w:t>
      </w:r>
      <w:r w:rsidRPr="009F549F">
        <w:rPr>
          <w:rFonts w:eastAsia="Century Schoolbook"/>
        </w:rPr>
        <w:t xml:space="preserve">Bearer-Friend, </w:t>
      </w:r>
      <w:r w:rsidRPr="009F549F">
        <w:rPr>
          <w:rFonts w:eastAsia="Century Schoolbook"/>
          <w:i/>
        </w:rPr>
        <w:t>supra</w:t>
      </w:r>
      <w:r w:rsidRPr="009F549F">
        <w:rPr>
          <w:rFonts w:eastAsia="Century Schoolbook"/>
        </w:rPr>
        <w:t xml:space="preserve"> note </w:t>
      </w:r>
      <w:r w:rsidRPr="00036097">
        <w:rPr>
          <w:rFonts w:eastAsia="Century Schoolbook"/>
        </w:rPr>
        <w:fldChar w:fldCharType="begin"/>
      </w:r>
      <w:r w:rsidRPr="00036097">
        <w:rPr>
          <w:rFonts w:eastAsia="Century Schoolbook"/>
        </w:rPr>
        <w:instrText xml:space="preserve"> NOTEREF _Ref115729452 \h  \* MERGEFORMAT </w:instrText>
      </w:r>
      <w:r w:rsidRPr="00036097">
        <w:rPr>
          <w:rFonts w:eastAsia="Century Schoolbook"/>
        </w:rPr>
      </w:r>
      <w:r w:rsidRPr="00036097">
        <w:rPr>
          <w:rFonts w:eastAsia="Century Schoolbook"/>
        </w:rPr>
        <w:fldChar w:fldCharType="separate"/>
      </w:r>
      <w:r>
        <w:rPr>
          <w:rFonts w:eastAsia="Century Schoolbook"/>
        </w:rPr>
        <w:t>29</w:t>
      </w:r>
      <w:r w:rsidRPr="00036097">
        <w:rPr>
          <w:rFonts w:eastAsia="Century Schoolbook"/>
        </w:rPr>
        <w:fldChar w:fldCharType="end"/>
      </w:r>
      <w:r w:rsidRPr="00036097">
        <w:rPr>
          <w:rFonts w:eastAsia="Century Schoolbook"/>
        </w:rPr>
        <w:t xml:space="preserve">. </w:t>
      </w:r>
      <w:proofErr w:type="spellStart"/>
      <w:r>
        <w:rPr>
          <w:rFonts w:eastAsia="Century Schoolbook"/>
        </w:rPr>
        <w:t>Schlunk’s</w:t>
      </w:r>
      <w:proofErr w:type="spellEnd"/>
      <w:r>
        <w:rPr>
          <w:rFonts w:eastAsia="Century Schoolbook"/>
        </w:rPr>
        <w:t xml:space="preserve"> prior proposal for a cashless corporate tax might also be thought of as a form of in-kind payment proposal, see note 168</w:t>
      </w:r>
      <w:r>
        <w:rPr>
          <w:rFonts w:eastAsia="Century Schoolbook"/>
          <w:i/>
          <w:iCs/>
        </w:rPr>
        <w:t>.</w:t>
      </w:r>
    </w:p>
  </w:footnote>
  <w:footnote w:id="170">
    <w:p w14:paraId="4B92AED5" w14:textId="78FD5F5C" w:rsidR="006E30B5" w:rsidRPr="009F549F" w:rsidRDefault="006E30B5">
      <w:pPr>
        <w:rPr>
          <w:rFonts w:eastAsia="Century Schoolbook"/>
          <w:b/>
        </w:rPr>
      </w:pPr>
      <w:r w:rsidRPr="009F549F">
        <w:rPr>
          <w:vertAlign w:val="superscript"/>
        </w:rPr>
        <w:footnoteRef/>
      </w:r>
      <w:r w:rsidRPr="009F549F">
        <w:rPr>
          <w:rFonts w:eastAsia="Century Schoolbook"/>
        </w:rPr>
        <w:t xml:space="preserve"> </w:t>
      </w:r>
      <w:proofErr w:type="spellStart"/>
      <w:r w:rsidRPr="009F549F">
        <w:rPr>
          <w:rFonts w:eastAsia="Century Schoolbook"/>
        </w:rPr>
        <w:t>Saez</w:t>
      </w:r>
      <w:proofErr w:type="spellEnd"/>
      <w:r w:rsidRPr="009F549F">
        <w:rPr>
          <w:rFonts w:eastAsia="Century Schoolbook"/>
        </w:rPr>
        <w:t xml:space="preserve"> &amp; Zucman, </w:t>
      </w:r>
      <w:r w:rsidRPr="009F549F">
        <w:rPr>
          <w:rFonts w:eastAsia="Century Schoolbook"/>
          <w:i/>
        </w:rPr>
        <w:t xml:space="preserve">Progressive </w:t>
      </w:r>
      <w:r w:rsidRPr="00036097">
        <w:rPr>
          <w:rFonts w:eastAsia="Century Schoolbook"/>
          <w:i/>
        </w:rPr>
        <w:t>Wealth Taxation</w:t>
      </w:r>
      <w:r w:rsidRPr="009F549F">
        <w:rPr>
          <w:rFonts w:eastAsia="Century Schoolbook"/>
        </w:rPr>
        <w:t xml:space="preserve">, </w:t>
      </w:r>
      <w:r w:rsidRPr="009F549F">
        <w:rPr>
          <w:rFonts w:eastAsia="Century Schoolbook"/>
          <w:i/>
        </w:rPr>
        <w:t>supra</w:t>
      </w:r>
      <w:r w:rsidRPr="009F549F">
        <w:rPr>
          <w:rFonts w:eastAsia="Century Schoolbook"/>
        </w:rPr>
        <w:t xml:space="preserve"> note </w:t>
      </w:r>
      <w:r w:rsidRPr="00036097">
        <w:rPr>
          <w:rFonts w:eastAsia="Century Schoolbook"/>
        </w:rPr>
        <w:fldChar w:fldCharType="begin"/>
      </w:r>
      <w:r w:rsidRPr="00036097">
        <w:rPr>
          <w:rFonts w:eastAsia="Century Schoolbook"/>
        </w:rPr>
        <w:instrText xml:space="preserve"> NOTEREF _Ref115729465 \h  \* MERGEFORMAT </w:instrText>
      </w:r>
      <w:r w:rsidRPr="00036097">
        <w:rPr>
          <w:rFonts w:eastAsia="Century Schoolbook"/>
        </w:rPr>
      </w:r>
      <w:r w:rsidRPr="00036097">
        <w:rPr>
          <w:rFonts w:eastAsia="Century Schoolbook"/>
        </w:rPr>
        <w:fldChar w:fldCharType="separate"/>
      </w:r>
      <w:r>
        <w:rPr>
          <w:rFonts w:eastAsia="Century Schoolbook"/>
        </w:rPr>
        <w:t>86</w:t>
      </w:r>
      <w:r w:rsidRPr="00036097">
        <w:rPr>
          <w:rFonts w:eastAsia="Century Schoolbook"/>
        </w:rPr>
        <w:fldChar w:fldCharType="end"/>
      </w:r>
      <w:r w:rsidRPr="00036097">
        <w:rPr>
          <w:rFonts w:eastAsia="Century Schoolbook"/>
        </w:rPr>
        <w:t>,</w:t>
      </w:r>
      <w:r w:rsidRPr="009F549F">
        <w:rPr>
          <w:rFonts w:eastAsia="Century Schoolbook"/>
        </w:rPr>
        <w:t xml:space="preserve"> at 482–83; </w:t>
      </w:r>
      <w:r>
        <w:rPr>
          <w:rFonts w:eastAsia="Century Schoolbook"/>
          <w:i/>
          <w:iCs/>
        </w:rPr>
        <w:t xml:space="preserve">see also </w:t>
      </w:r>
      <w:r w:rsidRPr="009F549F">
        <w:rPr>
          <w:rFonts w:eastAsia="Century Schoolbook"/>
          <w:smallCaps/>
        </w:rPr>
        <w:t xml:space="preserve">Emmanuel </w:t>
      </w:r>
      <w:proofErr w:type="spellStart"/>
      <w:r w:rsidRPr="009F549F">
        <w:rPr>
          <w:rFonts w:eastAsia="Century Schoolbook"/>
          <w:smallCaps/>
        </w:rPr>
        <w:t>Saez</w:t>
      </w:r>
      <w:proofErr w:type="spellEnd"/>
      <w:r w:rsidRPr="009F549F">
        <w:rPr>
          <w:rFonts w:eastAsia="Century Schoolbook"/>
          <w:smallCaps/>
        </w:rPr>
        <w:t xml:space="preserve"> &amp; Gabriel Zucman, The Triumph of Injustice: How the Rich Dodge Taxes and How </w:t>
      </w:r>
      <w:r w:rsidRPr="00036097">
        <w:rPr>
          <w:rFonts w:eastAsia="Century Schoolbook"/>
          <w:smallCaps/>
        </w:rPr>
        <w:t>To</w:t>
      </w:r>
      <w:r w:rsidRPr="009F549F">
        <w:rPr>
          <w:rFonts w:eastAsia="Century Schoolbook"/>
          <w:smallCaps/>
        </w:rPr>
        <w:t xml:space="preserve"> Make Them Pay</w:t>
      </w:r>
      <w:r w:rsidRPr="009F549F">
        <w:rPr>
          <w:rFonts w:eastAsia="Century Schoolbook"/>
        </w:rPr>
        <w:t xml:space="preserve"> 151–53 (2019).</w:t>
      </w:r>
      <w:r w:rsidRPr="00036097">
        <w:rPr>
          <w:rFonts w:eastAsia="Century Schoolbook"/>
          <w:b/>
          <w:bCs/>
        </w:rPr>
        <w:t xml:space="preserve"> </w:t>
      </w:r>
    </w:p>
  </w:footnote>
  <w:footnote w:id="171">
    <w:p w14:paraId="5549F0F4" w14:textId="40FCC031" w:rsidR="006E30B5" w:rsidRPr="009F549F" w:rsidRDefault="006E30B5">
      <w:pPr>
        <w:rPr>
          <w:rFonts w:eastAsia="Century Schoolbook"/>
        </w:rPr>
      </w:pPr>
      <w:r w:rsidRPr="009F549F">
        <w:rPr>
          <w:vertAlign w:val="superscript"/>
        </w:rPr>
        <w:footnoteRef/>
      </w:r>
      <w:r w:rsidRPr="009F549F">
        <w:rPr>
          <w:rFonts w:eastAsia="Century Schoolbook"/>
        </w:rPr>
        <w:t xml:space="preserve"> Glenn </w:t>
      </w:r>
      <w:proofErr w:type="spellStart"/>
      <w:r w:rsidRPr="009F549F">
        <w:rPr>
          <w:rFonts w:eastAsia="Century Schoolbook"/>
        </w:rPr>
        <w:t>Loutzenhiser</w:t>
      </w:r>
      <w:proofErr w:type="spellEnd"/>
      <w:r w:rsidRPr="009F549F">
        <w:rPr>
          <w:rFonts w:eastAsia="Century Schoolbook"/>
        </w:rPr>
        <w:t xml:space="preserve"> &amp; Elizabeth Mann, </w:t>
      </w:r>
      <w:r w:rsidRPr="009F549F">
        <w:rPr>
          <w:rFonts w:eastAsia="Century Schoolbook"/>
          <w:i/>
        </w:rPr>
        <w:t xml:space="preserve">Liquidity </w:t>
      </w:r>
      <w:r w:rsidRPr="00036097">
        <w:rPr>
          <w:rFonts w:eastAsia="Century Schoolbook"/>
          <w:i/>
        </w:rPr>
        <w:t>Issues: Solutions</w:t>
      </w:r>
      <w:r w:rsidRPr="009F549F">
        <w:rPr>
          <w:rFonts w:eastAsia="Century Schoolbook"/>
          <w:i/>
        </w:rPr>
        <w:t xml:space="preserve"> for the </w:t>
      </w:r>
      <w:r w:rsidRPr="00036097">
        <w:rPr>
          <w:rFonts w:eastAsia="Century Schoolbook"/>
          <w:i/>
        </w:rPr>
        <w:t>Asset Rich, Cash Poor</w:t>
      </w:r>
      <w:r w:rsidRPr="009F549F">
        <w:rPr>
          <w:rFonts w:eastAsia="Century Schoolbook"/>
        </w:rPr>
        <w:t xml:space="preserve">, 42 </w:t>
      </w:r>
      <w:r w:rsidRPr="009F549F">
        <w:rPr>
          <w:rFonts w:eastAsia="Century Schoolbook"/>
          <w:smallCaps/>
        </w:rPr>
        <w:t>Fiscal Stud.</w:t>
      </w:r>
      <w:r w:rsidRPr="009F549F">
        <w:rPr>
          <w:rFonts w:eastAsia="Century Schoolbook"/>
        </w:rPr>
        <w:t xml:space="preserve"> 651, 672–73 (2021); </w:t>
      </w:r>
      <w:r w:rsidRPr="009F549F">
        <w:rPr>
          <w:rFonts w:eastAsia="Century Schoolbook"/>
          <w:i/>
        </w:rPr>
        <w:t>see also</w:t>
      </w:r>
      <w:r w:rsidRPr="009F549F">
        <w:rPr>
          <w:rFonts w:eastAsia="Century Schoolbook"/>
        </w:rPr>
        <w:t xml:space="preserve"> Daly et al., </w:t>
      </w:r>
      <w:r w:rsidRPr="009F549F">
        <w:rPr>
          <w:rFonts w:eastAsia="Century Schoolbook"/>
          <w:i/>
        </w:rPr>
        <w:t>supra</w:t>
      </w:r>
      <w:r w:rsidRPr="009F549F">
        <w:rPr>
          <w:rFonts w:eastAsia="Century Schoolbook"/>
        </w:rPr>
        <w:t xml:space="preserve"> note </w:t>
      </w:r>
      <w:r>
        <w:rPr>
          <w:rFonts w:eastAsia="Century Schoolbook"/>
        </w:rPr>
        <w:fldChar w:fldCharType="begin"/>
      </w:r>
      <w:r>
        <w:rPr>
          <w:rFonts w:eastAsia="Century Schoolbook"/>
        </w:rPr>
        <w:instrText xml:space="preserve"> NOTEREF _Ref115379283 \h </w:instrText>
      </w:r>
      <w:r>
        <w:rPr>
          <w:rFonts w:eastAsia="Century Schoolbook"/>
        </w:rPr>
      </w:r>
      <w:r>
        <w:rPr>
          <w:rFonts w:eastAsia="Century Schoolbook"/>
        </w:rPr>
        <w:fldChar w:fldCharType="separate"/>
      </w:r>
      <w:r>
        <w:rPr>
          <w:rFonts w:eastAsia="Century Schoolbook"/>
        </w:rPr>
        <w:t>121</w:t>
      </w:r>
      <w:r>
        <w:rPr>
          <w:rFonts w:eastAsia="Century Schoolbook"/>
        </w:rPr>
        <w:fldChar w:fldCharType="end"/>
      </w:r>
      <w:r w:rsidRPr="00036097">
        <w:rPr>
          <w:rFonts w:eastAsia="Century Schoolbook"/>
        </w:rPr>
        <w:t>,</w:t>
      </w:r>
      <w:r w:rsidRPr="009F549F">
        <w:rPr>
          <w:rFonts w:eastAsia="Century Schoolbook"/>
        </w:rPr>
        <w:t xml:space="preserve"> at 633.</w:t>
      </w:r>
    </w:p>
  </w:footnote>
  <w:footnote w:id="172">
    <w:p w14:paraId="10AD96BD" w14:textId="1DE8DBC9" w:rsidR="006E30B5" w:rsidRPr="009F549F" w:rsidRDefault="006E30B5">
      <w:pPr>
        <w:rPr>
          <w:rFonts w:eastAsia="Century Schoolbook"/>
        </w:rPr>
      </w:pPr>
      <w:r w:rsidRPr="009F549F">
        <w:rPr>
          <w:vertAlign w:val="superscript"/>
        </w:rPr>
        <w:footnoteRef/>
      </w:r>
      <w:r w:rsidRPr="009F549F">
        <w:rPr>
          <w:rFonts w:eastAsia="Century Schoolbook"/>
        </w:rPr>
        <w:t xml:space="preserve"> </w:t>
      </w:r>
      <w:r w:rsidRPr="009F549F">
        <w:rPr>
          <w:rFonts w:eastAsia="Century Schoolbook"/>
          <w:i/>
        </w:rPr>
        <w:t>See, e.g</w:t>
      </w:r>
      <w:r w:rsidRPr="009F549F">
        <w:rPr>
          <w:rFonts w:eastAsia="Century Schoolbook"/>
        </w:rPr>
        <w:t>.</w:t>
      </w:r>
      <w:r w:rsidRPr="009F549F">
        <w:rPr>
          <w:rFonts w:eastAsia="Century Schoolbook"/>
        </w:rPr>
        <w:t xml:space="preserve">, Karen </w:t>
      </w:r>
      <w:proofErr w:type="spellStart"/>
      <w:r w:rsidRPr="009F549F">
        <w:rPr>
          <w:rFonts w:eastAsia="Century Schoolbook"/>
        </w:rPr>
        <w:t>Rowlingson</w:t>
      </w:r>
      <w:proofErr w:type="spellEnd"/>
      <w:r w:rsidRPr="00036097">
        <w:rPr>
          <w:rFonts w:eastAsia="Century Schoolbook"/>
        </w:rPr>
        <w:t xml:space="preserve">, Amrita </w:t>
      </w:r>
      <w:proofErr w:type="spellStart"/>
      <w:r w:rsidRPr="00036097">
        <w:rPr>
          <w:rFonts w:eastAsia="Century Schoolbook"/>
        </w:rPr>
        <w:t>Sood</w:t>
      </w:r>
      <w:proofErr w:type="spellEnd"/>
      <w:r w:rsidRPr="00036097">
        <w:rPr>
          <w:rFonts w:eastAsia="Century Schoolbook"/>
        </w:rPr>
        <w:t xml:space="preserve"> &amp; Trinh Tu,</w:t>
      </w:r>
      <w:r w:rsidRPr="009F549F">
        <w:rPr>
          <w:rFonts w:eastAsia="Century Schoolbook"/>
        </w:rPr>
        <w:t xml:space="preserve"> </w:t>
      </w:r>
      <w:r w:rsidRPr="009F549F">
        <w:rPr>
          <w:rFonts w:eastAsia="Century Schoolbook"/>
          <w:i/>
        </w:rPr>
        <w:t xml:space="preserve">Public </w:t>
      </w:r>
      <w:r w:rsidRPr="00036097">
        <w:rPr>
          <w:rFonts w:eastAsia="Century Schoolbook"/>
          <w:i/>
        </w:rPr>
        <w:t>Attitudes</w:t>
      </w:r>
      <w:r w:rsidRPr="009F549F">
        <w:rPr>
          <w:rFonts w:eastAsia="Century Schoolbook"/>
          <w:i/>
        </w:rPr>
        <w:t xml:space="preserve"> to a </w:t>
      </w:r>
      <w:r w:rsidRPr="007D6E99">
        <w:rPr>
          <w:rFonts w:ascii="Century Schoolbook" w:eastAsia="Century Schoolbook" w:hAnsi="Century Schoolbook" w:cs="Century Schoolbook"/>
          <w:i/>
          <w:sz w:val="20"/>
          <w:szCs w:val="20"/>
        </w:rPr>
        <w:t xml:space="preserve">wealth tax: the importance of ‘capacity to pay’ </w:t>
      </w:r>
      <w:r w:rsidRPr="007D6E99">
        <w:rPr>
          <w:rFonts w:ascii="Century Schoolbook" w:eastAsia="Century Schoolbook" w:hAnsi="Century Schoolbook" w:cs="Century Schoolbook"/>
          <w:sz w:val="20"/>
          <w:szCs w:val="20"/>
        </w:rPr>
        <w:t xml:space="preserve">27–28, </w:t>
      </w:r>
      <w:r w:rsidRPr="009F549F">
        <w:rPr>
          <w:rFonts w:eastAsia="Century Schoolbook"/>
          <w:i/>
        </w:rPr>
        <w:t>Wealth Tax</w:t>
      </w:r>
      <w:r w:rsidRPr="00036097">
        <w:rPr>
          <w:rFonts w:eastAsia="Century Schoolbook"/>
          <w:i/>
        </w:rPr>
        <w:t>: The Importance of ‘Capacity to Pay’</w:t>
      </w:r>
      <w:r w:rsidRPr="00036097">
        <w:rPr>
          <w:rFonts w:eastAsia="Century Schoolbook"/>
        </w:rPr>
        <w:t xml:space="preserve">, 42 </w:t>
      </w:r>
      <w:r w:rsidRPr="00036097">
        <w:rPr>
          <w:rFonts w:eastAsia="Century Schoolbook"/>
          <w:smallCaps/>
        </w:rPr>
        <w:t>Fiscal Stud. 431, 450</w:t>
      </w:r>
      <w:r w:rsidRPr="009F549F">
        <w:rPr>
          <w:rFonts w:eastAsia="Century Schoolbook"/>
          <w:smallCaps/>
        </w:rPr>
        <w:t xml:space="preserve"> </w:t>
      </w:r>
      <w:r w:rsidRPr="009F549F">
        <w:rPr>
          <w:rFonts w:eastAsia="Century Schoolbook"/>
        </w:rPr>
        <w:t>(2021) (</w:t>
      </w:r>
      <w:r w:rsidRPr="00036097">
        <w:rPr>
          <w:rFonts w:eastAsia="Century Schoolbook"/>
        </w:rPr>
        <w:t xml:space="preserve">noting that </w:t>
      </w:r>
      <w:r w:rsidRPr="009F549F">
        <w:rPr>
          <w:rFonts w:eastAsia="Century Schoolbook"/>
        </w:rPr>
        <w:t xml:space="preserve">payment in kind gains less support than deferral or paying less tax in survey results). </w:t>
      </w:r>
    </w:p>
  </w:footnote>
  <w:footnote w:id="173">
    <w:p w14:paraId="6E7C78D2" w14:textId="02044542" w:rsidR="006E30B5" w:rsidRPr="009F549F" w:rsidRDefault="006E30B5">
      <w:pPr>
        <w:rPr>
          <w:rFonts w:eastAsia="Century Schoolbook"/>
        </w:rPr>
      </w:pPr>
      <w:r w:rsidRPr="009F549F">
        <w:rPr>
          <w:vertAlign w:val="superscript"/>
        </w:rPr>
        <w:footnoteRef/>
      </w:r>
      <w:r w:rsidRPr="009F549F">
        <w:rPr>
          <w:rFonts w:eastAsia="Century Schoolbook"/>
        </w:rPr>
        <w:t xml:space="preserve"> </w:t>
      </w:r>
      <w:r w:rsidRPr="009F549F">
        <w:rPr>
          <w:rFonts w:eastAsia="Century Schoolbook"/>
          <w:i/>
        </w:rPr>
        <w:t xml:space="preserve">See </w:t>
      </w:r>
      <w:proofErr w:type="spellStart"/>
      <w:r w:rsidRPr="009F549F">
        <w:rPr>
          <w:rFonts w:eastAsia="Century Schoolbook"/>
        </w:rPr>
        <w:t>Loutzenhiser</w:t>
      </w:r>
      <w:proofErr w:type="spellEnd"/>
      <w:r w:rsidRPr="009F549F">
        <w:rPr>
          <w:rFonts w:eastAsia="Century Schoolbook"/>
        </w:rPr>
        <w:t xml:space="preserve"> </w:t>
      </w:r>
      <w:r w:rsidRPr="00036097">
        <w:rPr>
          <w:rFonts w:eastAsia="Century Schoolbook"/>
        </w:rPr>
        <w:t>&amp;</w:t>
      </w:r>
      <w:r w:rsidRPr="009F549F">
        <w:rPr>
          <w:rFonts w:eastAsia="Century Schoolbook"/>
        </w:rPr>
        <w:t xml:space="preserve"> Mann, </w:t>
      </w:r>
      <w:r w:rsidRPr="009F549F">
        <w:rPr>
          <w:rFonts w:eastAsia="Century Schoolbook"/>
          <w:i/>
        </w:rPr>
        <w:t>supra</w:t>
      </w:r>
      <w:r w:rsidRPr="009F549F">
        <w:rPr>
          <w:rFonts w:eastAsia="Century Schoolbook"/>
        </w:rPr>
        <w:t xml:space="preserve"> note </w:t>
      </w:r>
      <w:r w:rsidRPr="00036097">
        <w:rPr>
          <w:rFonts w:eastAsia="Century Schoolbook"/>
        </w:rPr>
        <w:fldChar w:fldCharType="begin"/>
      </w:r>
      <w:r w:rsidRPr="00036097">
        <w:rPr>
          <w:rFonts w:eastAsia="Century Schoolbook"/>
        </w:rPr>
        <w:instrText xml:space="preserve"> NOTEREF _Ref115729492 \h  \* MERGEFORMAT </w:instrText>
      </w:r>
      <w:r w:rsidRPr="00036097">
        <w:rPr>
          <w:rFonts w:eastAsia="Century Schoolbook"/>
        </w:rPr>
      </w:r>
      <w:r w:rsidRPr="00036097">
        <w:rPr>
          <w:rFonts w:eastAsia="Century Schoolbook"/>
        </w:rPr>
        <w:fldChar w:fldCharType="separate"/>
      </w:r>
      <w:r>
        <w:rPr>
          <w:rFonts w:eastAsia="Century Schoolbook"/>
        </w:rPr>
        <w:t>171</w:t>
      </w:r>
      <w:r w:rsidRPr="00036097">
        <w:rPr>
          <w:rFonts w:eastAsia="Century Schoolbook"/>
        </w:rPr>
        <w:fldChar w:fldCharType="end"/>
      </w:r>
      <w:r w:rsidRPr="00036097">
        <w:rPr>
          <w:rFonts w:eastAsia="Century Schoolbook"/>
        </w:rPr>
        <w:t>,</w:t>
      </w:r>
      <w:r w:rsidRPr="009F549F">
        <w:rPr>
          <w:rFonts w:eastAsia="Century Schoolbook"/>
        </w:rPr>
        <w:t xml:space="preserve"> at 672.</w:t>
      </w:r>
    </w:p>
  </w:footnote>
  <w:footnote w:id="174">
    <w:p w14:paraId="3833F7EA" w14:textId="3368DC8F" w:rsidR="006E30B5" w:rsidRPr="009F549F" w:rsidRDefault="006E30B5">
      <w:pPr>
        <w:rPr>
          <w:rFonts w:eastAsia="Century Schoolbook"/>
        </w:rPr>
      </w:pPr>
      <w:r w:rsidRPr="009F549F">
        <w:rPr>
          <w:vertAlign w:val="superscript"/>
        </w:rPr>
        <w:footnoteRef/>
      </w:r>
      <w:r w:rsidRPr="009F549F">
        <w:rPr>
          <w:rFonts w:eastAsia="Century Schoolbook"/>
        </w:rPr>
        <w:t xml:space="preserve"> </w:t>
      </w:r>
      <w:r w:rsidRPr="009F549F">
        <w:rPr>
          <w:rFonts w:eastAsia="Century Schoolbook"/>
          <w:i/>
        </w:rPr>
        <w:t>See, e.g</w:t>
      </w:r>
      <w:r w:rsidRPr="009F549F">
        <w:rPr>
          <w:rFonts w:eastAsia="Century Schoolbook"/>
        </w:rPr>
        <w:t xml:space="preserve">., Cal. Const. Art. </w:t>
      </w:r>
      <w:r w:rsidRPr="009F549F">
        <w:rPr>
          <w:rFonts w:eastAsia="Century Schoolbook"/>
        </w:rPr>
        <w:t xml:space="preserve">XVI, </w:t>
      </w:r>
      <w:r w:rsidRPr="00B23B77">
        <w:rPr>
          <w:rFonts w:eastAsia="Century Schoolbook"/>
        </w:rPr>
        <w:t>§</w:t>
      </w:r>
      <w:r w:rsidRPr="009F549F">
        <w:rPr>
          <w:rFonts w:eastAsia="Century Schoolbook"/>
        </w:rPr>
        <w:t xml:space="preserve"> 6</w:t>
      </w:r>
      <w:r w:rsidRPr="00036097">
        <w:rPr>
          <w:rFonts w:eastAsia="Century Schoolbook"/>
        </w:rPr>
        <w:t xml:space="preserve"> (prohibiting the </w:t>
      </w:r>
      <w:r>
        <w:rPr>
          <w:rFonts w:eastAsia="Century Schoolbook"/>
        </w:rPr>
        <w:t>l</w:t>
      </w:r>
      <w:r w:rsidRPr="00036097">
        <w:rPr>
          <w:rFonts w:eastAsia="Century Schoolbook"/>
        </w:rPr>
        <w:t xml:space="preserve">egislature from authorizing the </w:t>
      </w:r>
      <w:r>
        <w:rPr>
          <w:rFonts w:eastAsia="Century Schoolbook"/>
        </w:rPr>
        <w:t>s</w:t>
      </w:r>
      <w:r w:rsidRPr="00036097">
        <w:rPr>
          <w:rFonts w:eastAsia="Century Schoolbook"/>
        </w:rPr>
        <w:t xml:space="preserve">tate to become a stockholder in any corporation). </w:t>
      </w:r>
    </w:p>
  </w:footnote>
  <w:footnote w:id="175">
    <w:p w14:paraId="3CBAADF1" w14:textId="58E23908" w:rsidR="006E30B5" w:rsidRPr="009F549F" w:rsidRDefault="006E30B5">
      <w:pPr>
        <w:rPr>
          <w:rFonts w:eastAsia="Century Schoolbook"/>
        </w:rPr>
      </w:pPr>
      <w:r w:rsidRPr="009F549F">
        <w:rPr>
          <w:vertAlign w:val="superscript"/>
        </w:rPr>
        <w:footnoteRef/>
      </w:r>
      <w:r w:rsidRPr="009F549F">
        <w:rPr>
          <w:rFonts w:eastAsia="Century Schoolbook"/>
        </w:rPr>
        <w:t xml:space="preserve"> Bill Vlasic &amp; Annie Lowrey, </w:t>
      </w:r>
      <w:r w:rsidRPr="009F549F">
        <w:rPr>
          <w:rFonts w:eastAsia="Century Schoolbook"/>
          <w:i/>
        </w:rPr>
        <w:t>U.S. Ends Bailout of G.M., Selling Last Shares of Stock</w:t>
      </w:r>
      <w:r w:rsidRPr="009F549F">
        <w:rPr>
          <w:rFonts w:eastAsia="Century Schoolbook"/>
        </w:rPr>
        <w:t xml:space="preserve">, N.Y. </w:t>
      </w:r>
      <w:r w:rsidRPr="009F549F">
        <w:rPr>
          <w:rFonts w:eastAsia="Century Schoolbook"/>
          <w:smallCaps/>
        </w:rPr>
        <w:t>Times</w:t>
      </w:r>
      <w:r w:rsidRPr="009F549F">
        <w:rPr>
          <w:rFonts w:eastAsia="Century Schoolbook"/>
        </w:rPr>
        <w:t xml:space="preserve"> (Dec. </w:t>
      </w:r>
      <w:r w:rsidRPr="00036097">
        <w:rPr>
          <w:rFonts w:eastAsia="Century Schoolbook"/>
        </w:rPr>
        <w:t xml:space="preserve">9, 2013, 4:37 PM), </w:t>
      </w:r>
      <w:r w:rsidRPr="007112EA">
        <w:rPr>
          <w:rFonts w:eastAsia="Century Schoolbook"/>
        </w:rPr>
        <w:t>https://archive.nytimes.com/</w:t>
      </w:r>
      <w:r>
        <w:rPr>
          <w:rFonts w:eastAsia="Century Schoolbook"/>
        </w:rPr>
        <w:br/>
      </w:r>
      <w:r w:rsidRPr="007112EA">
        <w:rPr>
          <w:rFonts w:eastAsia="Century Schoolbook"/>
        </w:rPr>
        <w:t>dealbook.nytimes.com/2013/12/09/u-s-sells-remaining-stake-in-gm</w:t>
      </w:r>
      <w:r w:rsidRPr="00036097">
        <w:rPr>
          <w:rFonts w:eastAsia="Century Schoolbook"/>
        </w:rPr>
        <w:t xml:space="preserve"> [https://perma.cc/PN5L-EDAD].</w:t>
      </w:r>
    </w:p>
  </w:footnote>
  <w:footnote w:id="176">
    <w:p w14:paraId="60AFB989" w14:textId="5CA24CD2" w:rsidR="006E30B5" w:rsidRPr="009F549F" w:rsidRDefault="006E30B5">
      <w:pPr>
        <w:rPr>
          <w:rFonts w:eastAsia="Century Schoolbook"/>
        </w:rPr>
      </w:pPr>
      <w:r w:rsidRPr="009F549F">
        <w:rPr>
          <w:vertAlign w:val="superscript"/>
        </w:rPr>
        <w:footnoteRef/>
      </w:r>
      <w:r w:rsidRPr="009F549F">
        <w:rPr>
          <w:rFonts w:eastAsia="Century Schoolbook"/>
        </w:rPr>
        <w:t xml:space="preserve"> </w:t>
      </w:r>
      <w:proofErr w:type="spellStart"/>
      <w:r w:rsidRPr="009F549F">
        <w:rPr>
          <w:rFonts w:eastAsia="Century Schoolbook"/>
        </w:rPr>
        <w:t>Austan</w:t>
      </w:r>
      <w:proofErr w:type="spellEnd"/>
      <w:r w:rsidRPr="009F549F">
        <w:rPr>
          <w:rFonts w:eastAsia="Century Schoolbook"/>
        </w:rPr>
        <w:t xml:space="preserve"> D. </w:t>
      </w:r>
      <w:proofErr w:type="spellStart"/>
      <w:r w:rsidRPr="009F549F">
        <w:rPr>
          <w:rFonts w:eastAsia="Century Schoolbook"/>
        </w:rPr>
        <w:t>Goolsbee</w:t>
      </w:r>
      <w:proofErr w:type="spellEnd"/>
      <w:r w:rsidRPr="009F549F">
        <w:rPr>
          <w:rFonts w:eastAsia="Century Schoolbook"/>
        </w:rPr>
        <w:t xml:space="preserve"> &amp; Alan B. Krueger, </w:t>
      </w:r>
      <w:r w:rsidRPr="009F549F">
        <w:rPr>
          <w:rFonts w:eastAsia="Century Schoolbook"/>
          <w:i/>
        </w:rPr>
        <w:t>A Retrospective Look at Rescuing and Restructuring General Motors and Chrysler</w:t>
      </w:r>
      <w:r w:rsidRPr="009F549F">
        <w:rPr>
          <w:rFonts w:eastAsia="Century Schoolbook"/>
        </w:rPr>
        <w:t xml:space="preserve">, 29 J. </w:t>
      </w:r>
      <w:r w:rsidRPr="009F549F">
        <w:rPr>
          <w:rFonts w:eastAsia="Century Schoolbook"/>
          <w:smallCaps/>
        </w:rPr>
        <w:t xml:space="preserve">Econ. </w:t>
      </w:r>
      <w:proofErr w:type="spellStart"/>
      <w:r w:rsidRPr="00036097">
        <w:rPr>
          <w:rFonts w:eastAsia="Century Schoolbook"/>
          <w:smallCaps/>
        </w:rPr>
        <w:t>Persps</w:t>
      </w:r>
      <w:proofErr w:type="spellEnd"/>
      <w:r w:rsidRPr="00036097">
        <w:rPr>
          <w:rFonts w:eastAsia="Century Schoolbook"/>
        </w:rPr>
        <w:t>. 3,</w:t>
      </w:r>
      <w:r w:rsidRPr="009F549F">
        <w:rPr>
          <w:rFonts w:eastAsia="Century Schoolbook"/>
        </w:rPr>
        <w:t xml:space="preserve"> 3 (2015).</w:t>
      </w:r>
    </w:p>
  </w:footnote>
  <w:footnote w:id="177">
    <w:p w14:paraId="313B1B00" w14:textId="0D8E49B2" w:rsidR="006E30B5" w:rsidRPr="009F549F" w:rsidRDefault="006E30B5">
      <w:pPr>
        <w:pStyle w:val="FootnoteText"/>
        <w:rPr>
          <w:lang w:val="en-US"/>
        </w:rPr>
      </w:pPr>
      <w:r>
        <w:rPr>
          <w:rStyle w:val="FootnoteReference"/>
        </w:rPr>
        <w:footnoteRef/>
      </w:r>
      <w:r>
        <w:t xml:space="preserve"> </w:t>
      </w:r>
      <w:r>
        <w:rPr>
          <w:lang w:val="en-US"/>
        </w:rPr>
        <w:t xml:space="preserve">A useful overview and history of the IRA is Note, </w:t>
      </w:r>
      <w:r w:rsidRPr="009F549F">
        <w:rPr>
          <w:i/>
          <w:lang w:val="en-US"/>
        </w:rPr>
        <w:t>Cost</w:t>
      </w:r>
      <w:r>
        <w:rPr>
          <w:i/>
          <w:lang w:val="en-US"/>
        </w:rPr>
        <w:t>s</w:t>
      </w:r>
      <w:r w:rsidRPr="009F549F">
        <w:rPr>
          <w:i/>
          <w:lang w:val="en-US"/>
        </w:rPr>
        <w:t xml:space="preserve"> and Consequences of Tax Incentives: The Individual Retirement Account</w:t>
      </w:r>
      <w:r>
        <w:rPr>
          <w:lang w:val="en-US"/>
        </w:rPr>
        <w:t xml:space="preserve">, 94 </w:t>
      </w:r>
      <w:r w:rsidRPr="009F549F">
        <w:rPr>
          <w:smallCaps/>
          <w:lang w:val="en-US"/>
        </w:rPr>
        <w:t>Harv. L. Rev</w:t>
      </w:r>
      <w:r>
        <w:rPr>
          <w:lang w:val="en-US"/>
        </w:rPr>
        <w:t xml:space="preserve">. 864 (1981). </w:t>
      </w:r>
    </w:p>
  </w:footnote>
  <w:footnote w:id="178">
    <w:p w14:paraId="54EC3568" w14:textId="382255F6" w:rsidR="006E30B5" w:rsidRPr="009F549F" w:rsidRDefault="006E30B5">
      <w:pPr>
        <w:pStyle w:val="FootnoteText"/>
        <w:rPr>
          <w:lang w:val="en-US"/>
        </w:rPr>
      </w:pPr>
      <w:r>
        <w:rPr>
          <w:rStyle w:val="FootnoteReference"/>
        </w:rPr>
        <w:footnoteRef/>
      </w:r>
      <w:r>
        <w:t xml:space="preserve"> </w:t>
      </w:r>
      <w:r>
        <w:rPr>
          <w:lang w:val="en-US"/>
        </w:rPr>
        <w:t xml:space="preserve">I.R.C. § 408(e)(1). </w:t>
      </w:r>
    </w:p>
  </w:footnote>
  <w:footnote w:id="179">
    <w:p w14:paraId="506DA572" w14:textId="7C56F45A" w:rsidR="006E30B5" w:rsidRPr="009F549F" w:rsidRDefault="006E30B5">
      <w:pPr>
        <w:rPr>
          <w:rFonts w:eastAsia="Century Schoolbook"/>
        </w:rPr>
      </w:pPr>
      <w:r w:rsidRPr="009F549F">
        <w:rPr>
          <w:vertAlign w:val="superscript"/>
        </w:rPr>
        <w:footnoteRef/>
      </w:r>
      <w:r w:rsidRPr="009F549F">
        <w:rPr>
          <w:rFonts w:eastAsia="Century Schoolbook"/>
        </w:rPr>
        <w:t xml:space="preserve"> Certain privately</w:t>
      </w:r>
      <w:r>
        <w:rPr>
          <w:rFonts w:eastAsia="Century Schoolbook"/>
        </w:rPr>
        <w:t xml:space="preserve"> </w:t>
      </w:r>
      <w:r w:rsidRPr="009F549F">
        <w:rPr>
          <w:rFonts w:eastAsia="Century Schoolbook"/>
        </w:rPr>
        <w:t xml:space="preserve">held corporations are eligible for pass-through treatment under Subchapter S of the Tax Code, </w:t>
      </w:r>
      <w:r w:rsidRPr="009F549F">
        <w:rPr>
          <w:rFonts w:eastAsia="Century Schoolbook"/>
          <w:i/>
        </w:rPr>
        <w:t>see</w:t>
      </w:r>
      <w:r w:rsidRPr="009F549F">
        <w:rPr>
          <w:rFonts w:eastAsia="Century Schoolbook"/>
        </w:rPr>
        <w:t xml:space="preserve"> I.R.C. § 1361; our example refers to the others, which are taxed as separate entities under Subchapter C. </w:t>
      </w:r>
      <w:r w:rsidRPr="009F549F">
        <w:rPr>
          <w:rFonts w:eastAsia="Century Schoolbook"/>
          <w:i/>
        </w:rPr>
        <w:t>See</w:t>
      </w:r>
      <w:r w:rsidRPr="009F549F">
        <w:rPr>
          <w:rFonts w:eastAsia="Century Schoolbook"/>
        </w:rPr>
        <w:t xml:space="preserve"> I.R.C. § 11.</w:t>
      </w:r>
      <w:r w:rsidRPr="007D6E99">
        <w:rPr>
          <w:rFonts w:ascii="Century Schoolbook" w:eastAsia="Century Schoolbook" w:hAnsi="Century Schoolbook" w:cs="Century Schoolbook"/>
          <w:sz w:val="20"/>
          <w:szCs w:val="20"/>
        </w:rPr>
        <w:t xml:space="preserve"> </w:t>
      </w:r>
    </w:p>
  </w:footnote>
  <w:footnote w:id="180">
    <w:p w14:paraId="1C171F5A" w14:textId="299B6E79" w:rsidR="006E30B5" w:rsidRPr="009F549F" w:rsidRDefault="006E30B5">
      <w:pPr>
        <w:pStyle w:val="FootnoteText"/>
        <w:rPr>
          <w:lang w:val="en-US"/>
        </w:rPr>
      </w:pPr>
      <w:r>
        <w:rPr>
          <w:rStyle w:val="FootnoteReference"/>
        </w:rPr>
        <w:footnoteRef/>
      </w:r>
      <w:r>
        <w:t xml:space="preserve"> </w:t>
      </w:r>
      <w:r w:rsidRPr="009F549F">
        <w:rPr>
          <w:i/>
          <w:lang w:val="en-US"/>
        </w:rPr>
        <w:t>Cf</w:t>
      </w:r>
      <w:r>
        <w:rPr>
          <w:lang w:val="en-US"/>
        </w:rPr>
        <w:t xml:space="preserve">. Mary LaFrance, </w:t>
      </w:r>
      <w:r w:rsidRPr="009F549F">
        <w:rPr>
          <w:i/>
          <w:lang w:val="en-US"/>
        </w:rPr>
        <w:t>The Separate Tax Status of Loan-Out Corporations</w:t>
      </w:r>
      <w:r>
        <w:rPr>
          <w:lang w:val="en-US"/>
        </w:rPr>
        <w:t xml:space="preserve">, 48 </w:t>
      </w:r>
      <w:proofErr w:type="spellStart"/>
      <w:r w:rsidRPr="009F549F">
        <w:rPr>
          <w:smallCaps/>
          <w:lang w:val="en-US"/>
        </w:rPr>
        <w:t>Vand</w:t>
      </w:r>
      <w:proofErr w:type="spellEnd"/>
      <w:r w:rsidRPr="009F549F">
        <w:rPr>
          <w:smallCaps/>
          <w:lang w:val="en-US"/>
        </w:rPr>
        <w:t>. L. Rev</w:t>
      </w:r>
      <w:r>
        <w:rPr>
          <w:lang w:val="en-US"/>
        </w:rPr>
        <w:t xml:space="preserve">. 879, 881–82 (1995) (describing use of corporate structure to obtain tax timing benefits). </w:t>
      </w:r>
    </w:p>
  </w:footnote>
  <w:footnote w:id="181">
    <w:p w14:paraId="1970D6BD" w14:textId="14076EBA" w:rsidR="006E30B5" w:rsidRPr="009F549F" w:rsidRDefault="006E30B5">
      <w:pPr>
        <w:pBdr>
          <w:top w:val="nil"/>
          <w:left w:val="nil"/>
          <w:bottom w:val="nil"/>
          <w:right w:val="nil"/>
          <w:between w:val="nil"/>
        </w:pBdr>
        <w:rPr>
          <w:rFonts w:eastAsia="Century Schoolbook"/>
          <w:color w:val="000000"/>
        </w:rPr>
      </w:pPr>
      <w:r w:rsidRPr="009F549F">
        <w:rPr>
          <w:vertAlign w:val="superscript"/>
        </w:rPr>
        <w:footnoteRef/>
      </w:r>
      <w:r w:rsidRPr="009F549F">
        <w:rPr>
          <w:rFonts w:eastAsia="Century Schoolbook"/>
          <w:color w:val="000000"/>
        </w:rPr>
        <w:t xml:space="preserve"> </w:t>
      </w:r>
      <w:r w:rsidRPr="009F549F">
        <w:rPr>
          <w:rFonts w:eastAsia="Century Schoolbook"/>
          <w:i/>
          <w:color w:val="000000"/>
        </w:rPr>
        <w:t>E.g.</w:t>
      </w:r>
      <w:r w:rsidRPr="009F549F">
        <w:rPr>
          <w:rFonts w:eastAsia="Century Schoolbook"/>
          <w:color w:val="000000"/>
        </w:rPr>
        <w:t>,</w:t>
      </w:r>
      <w:r w:rsidRPr="009F549F">
        <w:rPr>
          <w:rFonts w:eastAsia="Century Schoolbook"/>
          <w:i/>
          <w:color w:val="000000"/>
        </w:rPr>
        <w:t xml:space="preserve"> </w:t>
      </w:r>
      <w:r w:rsidRPr="009F549F">
        <w:rPr>
          <w:rFonts w:eastAsia="Century Schoolbook"/>
          <w:color w:val="000000"/>
        </w:rPr>
        <w:t xml:space="preserve">26 </w:t>
      </w:r>
      <w:r w:rsidRPr="00036097">
        <w:rPr>
          <w:rFonts w:eastAsia="Century Schoolbook"/>
          <w:color w:val="000000"/>
        </w:rPr>
        <w:t>C.F.R.</w:t>
      </w:r>
      <w:r w:rsidRPr="009F549F">
        <w:rPr>
          <w:rFonts w:eastAsia="Century Schoolbook"/>
          <w:color w:val="000000"/>
        </w:rPr>
        <w:t xml:space="preserve"> § 1.996-1; Philip T. </w:t>
      </w:r>
      <w:proofErr w:type="spellStart"/>
      <w:r w:rsidRPr="009F549F">
        <w:rPr>
          <w:rFonts w:eastAsia="Century Schoolbook"/>
          <w:color w:val="000000"/>
        </w:rPr>
        <w:t>Pasmanik</w:t>
      </w:r>
      <w:proofErr w:type="spellEnd"/>
      <w:r w:rsidRPr="009F549F">
        <w:rPr>
          <w:rFonts w:eastAsia="Century Schoolbook"/>
          <w:color w:val="000000"/>
        </w:rPr>
        <w:t xml:space="preserve">, </w:t>
      </w:r>
      <w:r w:rsidRPr="009F549F">
        <w:rPr>
          <w:rFonts w:eastAsia="Century Schoolbook"/>
          <w:i/>
          <w:color w:val="000000"/>
        </w:rPr>
        <w:t xml:space="preserve">Look </w:t>
      </w:r>
      <w:r w:rsidRPr="00036097">
        <w:rPr>
          <w:rFonts w:eastAsia="Century Schoolbook"/>
          <w:i/>
          <w:color w:val="000000"/>
        </w:rPr>
        <w:t>Out</w:t>
      </w:r>
      <w:r w:rsidRPr="009F549F">
        <w:rPr>
          <w:rFonts w:eastAsia="Century Schoolbook"/>
          <w:i/>
          <w:color w:val="000000"/>
        </w:rPr>
        <w:t xml:space="preserve"> for Sec. 956 </w:t>
      </w:r>
      <w:r w:rsidRPr="00036097">
        <w:rPr>
          <w:rFonts w:eastAsia="Century Schoolbook"/>
          <w:i/>
          <w:color w:val="000000"/>
        </w:rPr>
        <w:t>Inclusions</w:t>
      </w:r>
      <w:r w:rsidRPr="009F549F">
        <w:rPr>
          <w:rFonts w:eastAsia="Century Schoolbook"/>
          <w:color w:val="000000"/>
        </w:rPr>
        <w:t xml:space="preserve">, </w:t>
      </w:r>
      <w:r w:rsidRPr="009F549F">
        <w:rPr>
          <w:rFonts w:eastAsia="Century Schoolbook"/>
          <w:smallCaps/>
          <w:color w:val="000000"/>
        </w:rPr>
        <w:t xml:space="preserve">The Tax </w:t>
      </w:r>
      <w:r w:rsidRPr="00036097">
        <w:rPr>
          <w:rFonts w:eastAsia="Century Schoolbook"/>
          <w:smallCaps/>
          <w:color w:val="000000"/>
        </w:rPr>
        <w:t>Advis</w:t>
      </w:r>
      <w:r w:rsidRPr="008008E2">
        <w:rPr>
          <w:rFonts w:eastAsia="Century Schoolbook"/>
          <w:smallCaps/>
          <w:color w:val="000000"/>
        </w:rPr>
        <w:t>e</w:t>
      </w:r>
      <w:r w:rsidRPr="00036097">
        <w:rPr>
          <w:rFonts w:eastAsia="Century Schoolbook"/>
          <w:smallCaps/>
          <w:color w:val="000000"/>
        </w:rPr>
        <w:t>r (</w:t>
      </w:r>
      <w:r w:rsidRPr="00036097">
        <w:rPr>
          <w:rFonts w:eastAsia="Century Schoolbook"/>
          <w:color w:val="000000"/>
        </w:rPr>
        <w:t>Nov.</w:t>
      </w:r>
      <w:r w:rsidRPr="009F549F">
        <w:rPr>
          <w:rFonts w:eastAsia="Century Schoolbook"/>
          <w:color w:val="000000"/>
        </w:rPr>
        <w:t xml:space="preserve"> 1, 2017</w:t>
      </w:r>
      <w:r w:rsidRPr="00036097">
        <w:rPr>
          <w:rFonts w:eastAsia="Century Schoolbook"/>
          <w:color w:val="000000"/>
        </w:rPr>
        <w:t>),</w:t>
      </w:r>
      <w:r w:rsidRPr="009F549F">
        <w:rPr>
          <w:rFonts w:eastAsia="Century Schoolbook"/>
          <w:color w:val="000000"/>
        </w:rPr>
        <w:t xml:space="preserve"> https://www.thetaxadviser.com</w:t>
      </w:r>
      <w:r>
        <w:rPr>
          <w:rFonts w:eastAsia="Century Schoolbook"/>
          <w:color w:val="000000"/>
        </w:rPr>
        <w:br/>
      </w:r>
      <w:r w:rsidRPr="009F549F">
        <w:rPr>
          <w:rFonts w:eastAsia="Century Schoolbook"/>
          <w:color w:val="000000"/>
        </w:rPr>
        <w:t>/issues/2017/</w:t>
      </w:r>
      <w:proofErr w:type="spellStart"/>
      <w:r w:rsidRPr="009F549F">
        <w:rPr>
          <w:rFonts w:eastAsia="Century Schoolbook"/>
          <w:color w:val="000000"/>
        </w:rPr>
        <w:t>nov</w:t>
      </w:r>
      <w:proofErr w:type="spellEnd"/>
      <w:r w:rsidRPr="009F549F">
        <w:rPr>
          <w:rFonts w:eastAsia="Century Schoolbook"/>
          <w:color w:val="000000"/>
        </w:rPr>
        <w:t>/sec-956-inclusions.html</w:t>
      </w:r>
      <w:r>
        <w:rPr>
          <w:rFonts w:ascii="Century Schoolbook" w:eastAsia="Century Schoolbook" w:hAnsi="Century Schoolbook" w:cs="Century Schoolbook"/>
          <w:color w:val="000000"/>
          <w:sz w:val="20"/>
          <w:szCs w:val="20"/>
        </w:rPr>
        <w:t>.</w:t>
      </w:r>
      <w:r w:rsidRPr="00036097">
        <w:rPr>
          <w:rFonts w:eastAsia="Century Schoolbook"/>
          <w:smallCaps/>
          <w:color w:val="000000"/>
        </w:rPr>
        <w:t xml:space="preserve"> </w:t>
      </w:r>
      <w:r w:rsidRPr="007112EA">
        <w:rPr>
          <w:rFonts w:eastAsia="Century Schoolbook"/>
          <w:color w:val="000000"/>
        </w:rPr>
        <w:t>[https://perma.cc/ZY62-DSNZ]</w:t>
      </w:r>
      <w:r w:rsidRPr="00036097">
        <w:rPr>
          <w:rFonts w:eastAsia="Century Schoolbook"/>
          <w:smallCaps/>
          <w:color w:val="000000"/>
        </w:rPr>
        <w:t>.</w:t>
      </w:r>
      <w:r w:rsidRPr="009F549F">
        <w:rPr>
          <w:rFonts w:eastAsia="Century Schoolbook"/>
          <w:smallCaps/>
          <w:color w:val="000000"/>
        </w:rPr>
        <w:t xml:space="preserve"> </w:t>
      </w:r>
    </w:p>
  </w:footnote>
  <w:footnote w:id="182">
    <w:p w14:paraId="18EADFB6" w14:textId="6383DF10" w:rsidR="006E30B5" w:rsidRPr="009F549F" w:rsidRDefault="006E30B5">
      <w:pPr>
        <w:pBdr>
          <w:top w:val="nil"/>
          <w:left w:val="nil"/>
          <w:bottom w:val="nil"/>
          <w:right w:val="nil"/>
          <w:between w:val="nil"/>
        </w:pBdr>
        <w:rPr>
          <w:rFonts w:eastAsia="Century Schoolbook"/>
          <w:color w:val="000000"/>
        </w:rPr>
      </w:pPr>
      <w:r w:rsidRPr="009F549F">
        <w:rPr>
          <w:vertAlign w:val="superscript"/>
        </w:rPr>
        <w:footnoteRef/>
      </w:r>
      <w:r w:rsidRPr="009F549F">
        <w:rPr>
          <w:rFonts w:eastAsia="Century Schoolbook"/>
          <w:color w:val="000000"/>
        </w:rPr>
        <w:t xml:space="preserve"> </w:t>
      </w:r>
      <w:r w:rsidRPr="009F549F">
        <w:rPr>
          <w:rFonts w:eastAsia="Century Schoolbook"/>
          <w:i/>
          <w:color w:val="000000"/>
        </w:rPr>
        <w:t>E.g.</w:t>
      </w:r>
      <w:r w:rsidRPr="009F549F">
        <w:rPr>
          <w:rFonts w:eastAsia="Century Schoolbook"/>
          <w:color w:val="000000"/>
        </w:rPr>
        <w:t>,</w:t>
      </w:r>
      <w:r w:rsidRPr="009F549F">
        <w:rPr>
          <w:rFonts w:eastAsia="Century Schoolbook"/>
          <w:i/>
          <w:color w:val="000000"/>
        </w:rPr>
        <w:t xml:space="preserve"> </w:t>
      </w:r>
      <w:r w:rsidRPr="00036097">
        <w:rPr>
          <w:rFonts w:eastAsia="Century Schoolbook"/>
          <w:smallCaps/>
          <w:color w:val="000000"/>
        </w:rPr>
        <w:t>I</w:t>
      </w:r>
      <w:r>
        <w:rPr>
          <w:rFonts w:eastAsia="Century Schoolbook"/>
          <w:smallCaps/>
          <w:color w:val="000000"/>
        </w:rPr>
        <w:t>.</w:t>
      </w:r>
      <w:r w:rsidRPr="00036097">
        <w:rPr>
          <w:rFonts w:eastAsia="Century Schoolbook"/>
          <w:smallCaps/>
          <w:color w:val="000000"/>
        </w:rPr>
        <w:t>R</w:t>
      </w:r>
      <w:r>
        <w:rPr>
          <w:rFonts w:eastAsia="Century Schoolbook"/>
          <w:smallCaps/>
          <w:color w:val="000000"/>
        </w:rPr>
        <w:t>.</w:t>
      </w:r>
      <w:r w:rsidRPr="00036097">
        <w:rPr>
          <w:rFonts w:eastAsia="Century Schoolbook"/>
          <w:smallCaps/>
          <w:color w:val="000000"/>
        </w:rPr>
        <w:t>S., Dep’t of Treasury,</w:t>
      </w:r>
      <w:r w:rsidRPr="009F549F">
        <w:rPr>
          <w:rFonts w:eastAsia="Century Schoolbook"/>
          <w:smallCaps/>
          <w:color w:val="000000"/>
        </w:rPr>
        <w:t xml:space="preserve"> Pub. 590-B (2020)</w:t>
      </w:r>
      <w:r w:rsidRPr="009F549F">
        <w:rPr>
          <w:rFonts w:eastAsia="Century Schoolbook"/>
          <w:color w:val="000000"/>
        </w:rPr>
        <w:t>; 26 U.S.</w:t>
      </w:r>
      <w:r w:rsidRPr="00036097">
        <w:rPr>
          <w:rFonts w:eastAsia="Century Schoolbook"/>
          <w:color w:val="000000"/>
        </w:rPr>
        <w:t>C.</w:t>
      </w:r>
      <w:r w:rsidRPr="009F549F">
        <w:rPr>
          <w:rFonts w:eastAsia="Century Schoolbook"/>
          <w:color w:val="000000"/>
        </w:rPr>
        <w:t xml:space="preserve"> § 667</w:t>
      </w:r>
      <w:r>
        <w:rPr>
          <w:rFonts w:ascii="Century Schoolbook" w:eastAsia="Century Schoolbook" w:hAnsi="Century Schoolbook" w:cs="Century Schoolbook"/>
          <w:color w:val="000000"/>
          <w:sz w:val="20"/>
          <w:szCs w:val="20"/>
        </w:rPr>
        <w:t xml:space="preserve">. </w:t>
      </w:r>
    </w:p>
  </w:footnote>
  <w:footnote w:id="183">
    <w:p w14:paraId="059514CC" w14:textId="4935356D" w:rsidR="006E30B5" w:rsidRPr="009F549F" w:rsidRDefault="006E30B5">
      <w:pPr>
        <w:pBdr>
          <w:top w:val="nil"/>
          <w:left w:val="nil"/>
          <w:bottom w:val="nil"/>
          <w:right w:val="nil"/>
          <w:between w:val="nil"/>
        </w:pBdr>
        <w:rPr>
          <w:rFonts w:eastAsia="Century Schoolbook"/>
          <w:color w:val="000000"/>
        </w:rPr>
      </w:pPr>
      <w:r w:rsidRPr="009F549F">
        <w:rPr>
          <w:vertAlign w:val="superscript"/>
        </w:rPr>
        <w:footnoteRef/>
      </w:r>
      <w:r w:rsidRPr="009F549F">
        <w:rPr>
          <w:rFonts w:eastAsia="Century Schoolbook"/>
          <w:color w:val="000000"/>
        </w:rPr>
        <w:t xml:space="preserve"> For discussion, see, e.g.</w:t>
      </w:r>
      <w:r w:rsidRPr="009F549F">
        <w:rPr>
          <w:rFonts w:eastAsia="Century Schoolbook"/>
          <w:i/>
          <w:color w:val="000000"/>
        </w:rPr>
        <w:t xml:space="preserve">, </w:t>
      </w:r>
      <w:r w:rsidRPr="009F549F">
        <w:rPr>
          <w:rFonts w:eastAsia="Century Schoolbook"/>
          <w:color w:val="000000"/>
        </w:rPr>
        <w:t xml:space="preserve">Emily </w:t>
      </w:r>
      <w:proofErr w:type="spellStart"/>
      <w:r w:rsidRPr="009F549F">
        <w:rPr>
          <w:rFonts w:eastAsia="Century Schoolbook"/>
          <w:color w:val="000000"/>
        </w:rPr>
        <w:t>Cauble</w:t>
      </w:r>
      <w:proofErr w:type="spellEnd"/>
      <w:r w:rsidRPr="009F549F">
        <w:rPr>
          <w:rFonts w:eastAsia="Century Schoolbook"/>
          <w:color w:val="000000"/>
        </w:rPr>
        <w:t xml:space="preserve">, </w:t>
      </w:r>
      <w:r w:rsidRPr="009F549F">
        <w:rPr>
          <w:rFonts w:eastAsia="Century Schoolbook"/>
          <w:i/>
          <w:color w:val="000000"/>
        </w:rPr>
        <w:t>Protective Tax Elections</w:t>
      </w:r>
      <w:r w:rsidRPr="009F549F">
        <w:rPr>
          <w:rFonts w:eastAsia="Century Schoolbook"/>
          <w:color w:val="000000"/>
        </w:rPr>
        <w:t xml:space="preserve">, 13 </w:t>
      </w:r>
      <w:r w:rsidRPr="009F549F">
        <w:rPr>
          <w:rFonts w:eastAsia="Century Schoolbook"/>
          <w:smallCaps/>
          <w:color w:val="000000"/>
        </w:rPr>
        <w:t xml:space="preserve">Colum. </w:t>
      </w:r>
      <w:r w:rsidRPr="009F549F">
        <w:rPr>
          <w:rFonts w:eastAsia="Century Schoolbook"/>
          <w:smallCaps/>
          <w:color w:val="000000"/>
        </w:rPr>
        <w:t>J</w:t>
      </w:r>
      <w:r w:rsidRPr="00036097">
        <w:rPr>
          <w:rFonts w:eastAsia="Century Schoolbook"/>
          <w:smallCaps/>
          <w:color w:val="000000"/>
        </w:rPr>
        <w:t>.</w:t>
      </w:r>
      <w:r w:rsidRPr="009F549F">
        <w:rPr>
          <w:rFonts w:eastAsia="Century Schoolbook"/>
          <w:smallCaps/>
          <w:color w:val="000000"/>
        </w:rPr>
        <w:t xml:space="preserve"> Tax </w:t>
      </w:r>
      <w:r w:rsidRPr="00036097">
        <w:rPr>
          <w:rFonts w:eastAsia="Century Schoolbook"/>
          <w:smallCaps/>
          <w:color w:val="000000"/>
        </w:rPr>
        <w:t>L.</w:t>
      </w:r>
      <w:r w:rsidRPr="009F549F">
        <w:rPr>
          <w:rFonts w:eastAsia="Century Schoolbook"/>
          <w:smallCaps/>
          <w:color w:val="000000"/>
        </w:rPr>
        <w:t xml:space="preserve"> 77,</w:t>
      </w:r>
      <w:r w:rsidRPr="009F549F">
        <w:rPr>
          <w:rFonts w:eastAsia="Century Schoolbook"/>
          <w:i/>
          <w:color w:val="000000"/>
        </w:rPr>
        <w:t xml:space="preserve"> </w:t>
      </w:r>
      <w:r w:rsidRPr="00036097">
        <w:rPr>
          <w:rFonts w:eastAsia="Century Schoolbook"/>
          <w:color w:val="000000"/>
        </w:rPr>
        <w:t>89</w:t>
      </w:r>
      <w:r w:rsidRPr="00036097">
        <w:rPr>
          <w:rFonts w:eastAsia="Century Schoolbook"/>
          <w:color w:val="000000"/>
        </w:rPr>
        <w:softHyphen/>
      </w:r>
      <w:r w:rsidRPr="00036097">
        <w:rPr>
          <w:rFonts w:eastAsia="Century Schoolbook"/>
          <w:color w:val="000000"/>
        </w:rPr>
        <w:softHyphen/>
      </w:r>
      <w:r w:rsidRPr="00036097">
        <w:rPr>
          <w:rFonts w:eastAsia="Century Schoolbook"/>
          <w:color w:val="000000"/>
        </w:rPr>
        <w:softHyphen/>
      </w:r>
      <w:r w:rsidRPr="00036097">
        <w:rPr>
          <w:rFonts w:eastAsia="Century Schoolbook"/>
          <w:color w:val="000000"/>
        </w:rPr>
        <w:softHyphen/>
        <w:t>–</w:t>
      </w:r>
      <w:r w:rsidRPr="009F549F">
        <w:rPr>
          <w:rFonts w:eastAsia="Century Schoolbook"/>
          <w:color w:val="000000"/>
        </w:rPr>
        <w:t>90 (2022</w:t>
      </w:r>
      <w:r w:rsidRPr="00036097">
        <w:rPr>
          <w:rFonts w:eastAsia="Century Schoolbook"/>
          <w:color w:val="000000"/>
        </w:rPr>
        <w:t>) (pointing to the PFIC as an example of a favorable fallback protective tax election</w:t>
      </w:r>
      <w:r w:rsidRPr="009F549F">
        <w:rPr>
          <w:rFonts w:eastAsia="Century Schoolbook"/>
          <w:color w:val="000000"/>
        </w:rPr>
        <w:t xml:space="preserve">); </w:t>
      </w:r>
      <w:proofErr w:type="spellStart"/>
      <w:r w:rsidRPr="009F549F">
        <w:rPr>
          <w:rFonts w:eastAsia="Century Schoolbook"/>
          <w:color w:val="000000"/>
        </w:rPr>
        <w:t>Haroldene</w:t>
      </w:r>
      <w:proofErr w:type="spellEnd"/>
      <w:r w:rsidRPr="009F549F">
        <w:rPr>
          <w:rFonts w:eastAsia="Century Schoolbook"/>
          <w:color w:val="000000"/>
        </w:rPr>
        <w:t xml:space="preserve"> </w:t>
      </w:r>
      <w:proofErr w:type="spellStart"/>
      <w:r w:rsidRPr="009F549F">
        <w:rPr>
          <w:rFonts w:eastAsia="Century Schoolbook"/>
          <w:color w:val="000000"/>
        </w:rPr>
        <w:t>Wunder</w:t>
      </w:r>
      <w:proofErr w:type="spellEnd"/>
      <w:r w:rsidRPr="009F549F">
        <w:rPr>
          <w:rFonts w:eastAsia="Century Schoolbook"/>
          <w:color w:val="000000"/>
        </w:rPr>
        <w:t xml:space="preserve">, </w:t>
      </w:r>
      <w:r w:rsidRPr="009F549F">
        <w:rPr>
          <w:rFonts w:eastAsia="Century Schoolbook"/>
          <w:i/>
          <w:color w:val="000000"/>
        </w:rPr>
        <w:t>The Perils and Pitfalls of Passive Foreign Investment Company Ownership</w:t>
      </w:r>
      <w:r w:rsidRPr="009F549F">
        <w:rPr>
          <w:rFonts w:eastAsia="Century Schoolbook"/>
          <w:color w:val="000000"/>
        </w:rPr>
        <w:t xml:space="preserve">, </w:t>
      </w:r>
      <w:r w:rsidRPr="009F549F">
        <w:rPr>
          <w:rFonts w:eastAsia="Century Schoolbook"/>
          <w:smallCaps/>
          <w:color w:val="000000"/>
        </w:rPr>
        <w:t xml:space="preserve">The CPA </w:t>
      </w:r>
      <w:r w:rsidRPr="00036097">
        <w:rPr>
          <w:rFonts w:eastAsia="Century Schoolbook"/>
          <w:smallCaps/>
          <w:color w:val="000000"/>
        </w:rPr>
        <w:t>J.</w:t>
      </w:r>
      <w:r w:rsidRPr="00036097">
        <w:rPr>
          <w:rFonts w:eastAsia="Century Schoolbook"/>
          <w:color w:val="000000"/>
        </w:rPr>
        <w:t xml:space="preserve"> (Feb.</w:t>
      </w:r>
      <w:r w:rsidRPr="009F549F">
        <w:rPr>
          <w:rFonts w:eastAsia="Century Schoolbook"/>
          <w:color w:val="000000"/>
        </w:rPr>
        <w:t xml:space="preserve"> 2019</w:t>
      </w:r>
      <w:r w:rsidRPr="00036097">
        <w:rPr>
          <w:rFonts w:eastAsia="Century Schoolbook"/>
          <w:color w:val="000000"/>
        </w:rPr>
        <w:t>) https://www.cpajournal.com/2019/02/06/the-perils-and-pitfalls-of-passive-foreign-investment-company-ownership [https://perma.cc/MQ5X-DGHB];</w:t>
      </w:r>
      <w:r w:rsidRPr="009F549F">
        <w:rPr>
          <w:rFonts w:eastAsia="Century Schoolbook"/>
          <w:color w:val="000000"/>
        </w:rPr>
        <w:t xml:space="preserve"> </w:t>
      </w:r>
    </w:p>
    <w:p w14:paraId="434B9B1E" w14:textId="177C8BA8" w:rsidR="006E30B5" w:rsidRPr="009F549F" w:rsidRDefault="006E30B5">
      <w:pPr>
        <w:pBdr>
          <w:top w:val="nil"/>
          <w:left w:val="nil"/>
          <w:bottom w:val="nil"/>
          <w:right w:val="nil"/>
          <w:between w:val="nil"/>
        </w:pBdr>
        <w:rPr>
          <w:color w:val="000000"/>
        </w:rPr>
      </w:pPr>
      <w:r w:rsidRPr="009F549F">
        <w:rPr>
          <w:rFonts w:eastAsia="Century Schoolbook"/>
          <w:color w:val="000000"/>
        </w:rPr>
        <w:t xml:space="preserve">Vadim </w:t>
      </w:r>
      <w:proofErr w:type="spellStart"/>
      <w:r w:rsidRPr="009F549F">
        <w:rPr>
          <w:rFonts w:eastAsia="Century Schoolbook"/>
          <w:color w:val="000000"/>
        </w:rPr>
        <w:t>Blikshteyn</w:t>
      </w:r>
      <w:proofErr w:type="spellEnd"/>
      <w:r w:rsidRPr="007D6E99">
        <w:rPr>
          <w:rFonts w:ascii="Century Schoolbook" w:eastAsia="Century Schoolbook" w:hAnsi="Century Schoolbook" w:cs="Century Schoolbook"/>
          <w:color w:val="000000"/>
          <w:sz w:val="20"/>
          <w:szCs w:val="20"/>
        </w:rPr>
        <w:t xml:space="preserve"> &amp; Holtz Rubenstein</w:t>
      </w:r>
      <w:r w:rsidRPr="009F549F">
        <w:rPr>
          <w:rFonts w:eastAsia="Century Schoolbook"/>
          <w:color w:val="000000"/>
        </w:rPr>
        <w:t xml:space="preserve">, </w:t>
      </w:r>
      <w:r w:rsidRPr="009F549F">
        <w:rPr>
          <w:rFonts w:eastAsia="Century Schoolbook"/>
          <w:i/>
          <w:color w:val="000000"/>
        </w:rPr>
        <w:t>Passive Foreign Investment Companies</w:t>
      </w:r>
      <w:r w:rsidRPr="009F549F">
        <w:rPr>
          <w:rFonts w:eastAsia="Century Schoolbook"/>
          <w:color w:val="000000"/>
        </w:rPr>
        <w:t xml:space="preserve">, </w:t>
      </w:r>
      <w:r w:rsidRPr="009F549F">
        <w:rPr>
          <w:rFonts w:eastAsia="Century Schoolbook"/>
          <w:smallCaps/>
          <w:color w:val="000000"/>
        </w:rPr>
        <w:t xml:space="preserve">The Tax </w:t>
      </w:r>
      <w:r w:rsidRPr="00036097">
        <w:rPr>
          <w:rFonts w:eastAsia="Century Schoolbook"/>
          <w:smallCaps/>
          <w:color w:val="000000"/>
        </w:rPr>
        <w:t>Adviser</w:t>
      </w:r>
      <w:r w:rsidRPr="00036097">
        <w:rPr>
          <w:rFonts w:eastAsia="Century Schoolbook"/>
          <w:color w:val="000000"/>
        </w:rPr>
        <w:t xml:space="preserve"> (Oct.</w:t>
      </w:r>
      <w:r w:rsidRPr="009F549F">
        <w:rPr>
          <w:rFonts w:eastAsia="Century Schoolbook"/>
          <w:color w:val="000000"/>
        </w:rPr>
        <w:t xml:space="preserve"> 1, 2011).</w:t>
      </w:r>
    </w:p>
  </w:footnote>
  <w:footnote w:id="184">
    <w:p w14:paraId="468AB2E7" w14:textId="70713EB6" w:rsidR="006E30B5" w:rsidRPr="009F549F" w:rsidRDefault="006E30B5">
      <w:pPr>
        <w:pBdr>
          <w:top w:val="nil"/>
          <w:left w:val="nil"/>
          <w:bottom w:val="nil"/>
          <w:right w:val="nil"/>
          <w:between w:val="nil"/>
        </w:pBdr>
        <w:rPr>
          <w:rFonts w:eastAsia="Century Schoolbook"/>
          <w:color w:val="000000"/>
        </w:rPr>
      </w:pPr>
      <w:r w:rsidRPr="009F549F">
        <w:rPr>
          <w:vertAlign w:val="superscript"/>
        </w:rPr>
        <w:footnoteRef/>
      </w:r>
      <w:r w:rsidRPr="009F549F">
        <w:rPr>
          <w:rFonts w:eastAsia="Century Schoolbook"/>
          <w:color w:val="000000"/>
        </w:rPr>
        <w:t xml:space="preserve"> More precisely, there are actually three options offered by the PFIC regime: (1) the deferral with interest charge option of </w:t>
      </w:r>
      <w:r w:rsidRPr="00036097">
        <w:rPr>
          <w:rFonts w:eastAsia="Century Schoolbook"/>
          <w:color w:val="000000"/>
        </w:rPr>
        <w:t>I.R.C. section</w:t>
      </w:r>
      <w:r w:rsidRPr="009F549F">
        <w:rPr>
          <w:rFonts w:eastAsia="Century Schoolbook"/>
          <w:color w:val="000000"/>
        </w:rPr>
        <w:t xml:space="preserve"> 1291, (2) the mark-to-market option for marketable stock options of </w:t>
      </w:r>
      <w:r w:rsidRPr="00036097">
        <w:rPr>
          <w:rFonts w:eastAsia="Century Schoolbook"/>
          <w:color w:val="000000"/>
        </w:rPr>
        <w:t>I.R.C. section</w:t>
      </w:r>
      <w:r w:rsidRPr="009F549F">
        <w:rPr>
          <w:rFonts w:eastAsia="Century Schoolbook"/>
          <w:color w:val="000000"/>
        </w:rPr>
        <w:t xml:space="preserve"> 1296, and (3) the current taxation of income from qualified election funds option of </w:t>
      </w:r>
      <w:r w:rsidRPr="00036097">
        <w:rPr>
          <w:rFonts w:eastAsia="Century Schoolbook"/>
          <w:color w:val="000000"/>
        </w:rPr>
        <w:t>I.R.C. section</w:t>
      </w:r>
      <w:r w:rsidRPr="009F549F">
        <w:rPr>
          <w:rFonts w:eastAsia="Century Schoolbook"/>
          <w:color w:val="000000"/>
        </w:rPr>
        <w:t xml:space="preserve"> 1293</w:t>
      </w:r>
      <w:r>
        <w:rPr>
          <w:rFonts w:ascii="Century Schoolbook" w:eastAsia="Century Schoolbook" w:hAnsi="Century Schoolbook" w:cs="Century Schoolbook"/>
          <w:color w:val="000000"/>
          <w:sz w:val="20"/>
          <w:szCs w:val="20"/>
        </w:rPr>
        <w:t>.</w:t>
      </w:r>
      <w:r w:rsidRPr="009F549F">
        <w:rPr>
          <w:rFonts w:eastAsia="Century Schoolbook"/>
          <w:color w:val="000000"/>
        </w:rPr>
        <w:t xml:space="preserve"> Because both the second and third of these options involve current taxation of undistributed income from PFIC assets, we simplify in the discussion above by discussing the choice between the deferral option (option </w:t>
      </w:r>
      <w:r w:rsidRPr="00036097">
        <w:rPr>
          <w:rFonts w:eastAsia="Century Schoolbook"/>
          <w:color w:val="000000"/>
        </w:rPr>
        <w:t>one</w:t>
      </w:r>
      <w:r w:rsidRPr="009F549F">
        <w:rPr>
          <w:rFonts w:eastAsia="Century Schoolbook"/>
          <w:color w:val="000000"/>
        </w:rPr>
        <w:t xml:space="preserve">) and the current taxation option (by which we mean either option </w:t>
      </w:r>
      <w:r w:rsidRPr="00036097">
        <w:rPr>
          <w:rFonts w:eastAsia="Century Schoolbook"/>
          <w:color w:val="000000"/>
        </w:rPr>
        <w:t>two</w:t>
      </w:r>
      <w:r w:rsidRPr="009F549F">
        <w:rPr>
          <w:rFonts w:eastAsia="Century Schoolbook"/>
          <w:color w:val="000000"/>
        </w:rPr>
        <w:t xml:space="preserve"> or option </w:t>
      </w:r>
      <w:r w:rsidRPr="00036097">
        <w:rPr>
          <w:rFonts w:eastAsia="Century Schoolbook"/>
          <w:color w:val="000000"/>
        </w:rPr>
        <w:t xml:space="preserve">three). </w:t>
      </w:r>
      <w:r w:rsidRPr="00036097">
        <w:rPr>
          <w:rFonts w:eastAsia="Century Schoolbook"/>
          <w:i/>
          <w:color w:val="000000"/>
        </w:rPr>
        <w:t xml:space="preserve">See </w:t>
      </w:r>
      <w:proofErr w:type="spellStart"/>
      <w:r w:rsidRPr="00036097">
        <w:rPr>
          <w:rFonts w:eastAsia="Century Schoolbook"/>
          <w:iCs/>
          <w:color w:val="000000"/>
        </w:rPr>
        <w:t>Cauble</w:t>
      </w:r>
      <w:proofErr w:type="spellEnd"/>
      <w:r w:rsidRPr="00036097">
        <w:rPr>
          <w:rFonts w:eastAsia="Century Schoolbook"/>
          <w:iCs/>
          <w:color w:val="000000"/>
        </w:rPr>
        <w:t xml:space="preserve">, </w:t>
      </w:r>
      <w:r w:rsidRPr="00036097">
        <w:rPr>
          <w:rFonts w:eastAsia="Century Schoolbook"/>
          <w:i/>
          <w:color w:val="000000"/>
        </w:rPr>
        <w:t xml:space="preserve">supra </w:t>
      </w:r>
      <w:r w:rsidRPr="00036097">
        <w:rPr>
          <w:rFonts w:eastAsia="Century Schoolbook"/>
          <w:iCs/>
          <w:color w:val="000000"/>
        </w:rPr>
        <w:t xml:space="preserve">note </w:t>
      </w:r>
      <w:r w:rsidRPr="00036097">
        <w:rPr>
          <w:rFonts w:eastAsia="Century Schoolbook"/>
          <w:iCs/>
          <w:color w:val="000000"/>
        </w:rPr>
        <w:fldChar w:fldCharType="begin"/>
      </w:r>
      <w:r w:rsidRPr="00036097">
        <w:rPr>
          <w:rFonts w:eastAsia="Century Schoolbook"/>
          <w:iCs/>
          <w:color w:val="000000"/>
        </w:rPr>
        <w:instrText xml:space="preserve"> NOTEREF _Ref115721591 \h  \* MERGEFORMAT </w:instrText>
      </w:r>
      <w:r w:rsidRPr="00036097">
        <w:rPr>
          <w:rFonts w:eastAsia="Century Schoolbook"/>
          <w:iCs/>
          <w:color w:val="000000"/>
        </w:rPr>
      </w:r>
      <w:r w:rsidRPr="00036097">
        <w:rPr>
          <w:rFonts w:eastAsia="Century Schoolbook"/>
          <w:iCs/>
          <w:color w:val="000000"/>
        </w:rPr>
        <w:fldChar w:fldCharType="separate"/>
      </w:r>
      <w:r>
        <w:rPr>
          <w:rFonts w:eastAsia="Century Schoolbook"/>
          <w:iCs/>
          <w:color w:val="000000"/>
        </w:rPr>
        <w:t>180</w:t>
      </w:r>
      <w:r w:rsidRPr="00036097">
        <w:rPr>
          <w:rFonts w:eastAsia="Century Schoolbook"/>
          <w:iCs/>
          <w:color w:val="000000"/>
        </w:rPr>
        <w:fldChar w:fldCharType="end"/>
      </w:r>
      <w:r w:rsidRPr="00036097">
        <w:rPr>
          <w:rFonts w:eastAsia="Century Schoolbook"/>
          <w:iCs/>
          <w:color w:val="000000"/>
        </w:rPr>
        <w:t xml:space="preserve"> (discussing possible outcomes under </w:t>
      </w:r>
      <w:r>
        <w:rPr>
          <w:rFonts w:eastAsia="Century Schoolbook"/>
          <w:iCs/>
          <w:color w:val="000000"/>
        </w:rPr>
        <w:t xml:space="preserve">the </w:t>
      </w:r>
      <w:r w:rsidRPr="00036097">
        <w:rPr>
          <w:rFonts w:eastAsia="Century Schoolbook"/>
          <w:iCs/>
          <w:color w:val="000000"/>
        </w:rPr>
        <w:t>PFIC regime</w:t>
      </w:r>
      <w:r w:rsidRPr="009F549F">
        <w:rPr>
          <w:rFonts w:eastAsia="Century Schoolbook"/>
          <w:color w:val="000000"/>
        </w:rPr>
        <w:t xml:space="preserve">). </w:t>
      </w:r>
    </w:p>
  </w:footnote>
  <w:footnote w:id="185">
    <w:p w14:paraId="51FE1C10" w14:textId="1583FD82" w:rsidR="006E30B5" w:rsidRPr="009F549F" w:rsidRDefault="006E30B5">
      <w:pPr>
        <w:pBdr>
          <w:top w:val="nil"/>
          <w:left w:val="nil"/>
          <w:bottom w:val="nil"/>
          <w:right w:val="nil"/>
          <w:between w:val="nil"/>
        </w:pBdr>
        <w:rPr>
          <w:rFonts w:eastAsia="Century Schoolbook"/>
          <w:color w:val="000000"/>
        </w:rPr>
      </w:pPr>
      <w:r w:rsidRPr="009F549F">
        <w:rPr>
          <w:vertAlign w:val="superscript"/>
        </w:rPr>
        <w:footnoteRef/>
      </w:r>
      <w:r w:rsidRPr="00036097">
        <w:rPr>
          <w:rFonts w:eastAsia="Century Schoolbook"/>
          <w:color w:val="000000"/>
        </w:rPr>
        <w:t xml:space="preserve"> </w:t>
      </w:r>
      <w:r w:rsidRPr="00CF2990">
        <w:rPr>
          <w:rFonts w:eastAsia="Century Schoolbook"/>
          <w:i/>
          <w:iCs/>
          <w:color w:val="000000"/>
        </w:rPr>
        <w:t>See</w:t>
      </w:r>
      <w:r w:rsidRPr="00036097">
        <w:rPr>
          <w:rFonts w:eastAsia="Century Schoolbook"/>
          <w:color w:val="000000"/>
        </w:rPr>
        <w:t xml:space="preserve"> </w:t>
      </w:r>
      <w:r w:rsidRPr="00036097">
        <w:rPr>
          <w:rFonts w:eastAsia="Century Schoolbook"/>
          <w:i/>
          <w:iCs/>
          <w:color w:val="000000"/>
        </w:rPr>
        <w:t>supra</w:t>
      </w:r>
      <w:r w:rsidRPr="00036097">
        <w:rPr>
          <w:rFonts w:eastAsia="Century Schoolbook"/>
          <w:color w:val="000000"/>
        </w:rPr>
        <w:t xml:space="preserve"> Part </w:t>
      </w:r>
      <w:r>
        <w:rPr>
          <w:rFonts w:eastAsia="Century Schoolbook"/>
          <w:color w:val="000000"/>
        </w:rPr>
        <w:t>II.</w:t>
      </w:r>
      <w:r w:rsidRPr="005647EF">
        <w:rPr>
          <w:rFonts w:eastAsia="Century Schoolbook"/>
          <w:color w:val="000000"/>
        </w:rPr>
        <w:fldChar w:fldCharType="begin"/>
      </w:r>
      <w:r w:rsidRPr="005647EF">
        <w:rPr>
          <w:rFonts w:eastAsia="Century Schoolbook"/>
          <w:color w:val="000000"/>
        </w:rPr>
        <w:instrText xml:space="preserve"> REF _Ref119430207 \h </w:instrText>
      </w:r>
      <w:r w:rsidRPr="009F549F">
        <w:rPr>
          <w:rFonts w:eastAsia="Century Schoolbook"/>
          <w:color w:val="000000"/>
        </w:rPr>
        <w:instrText xml:space="preserve"> \* MERGEFORMAT </w:instrText>
      </w:r>
      <w:r w:rsidRPr="005647EF">
        <w:rPr>
          <w:rFonts w:eastAsia="Century Schoolbook"/>
          <w:color w:val="000000"/>
        </w:rPr>
      </w:r>
      <w:r w:rsidRPr="005647EF">
        <w:rPr>
          <w:rFonts w:eastAsia="Century Schoolbook"/>
          <w:color w:val="000000"/>
        </w:rPr>
        <w:fldChar w:fldCharType="separate"/>
      </w:r>
      <w:r w:rsidRPr="009F549F">
        <w:t xml:space="preserve">C. </w:t>
      </w:r>
      <w:r w:rsidRPr="005647EF">
        <w:rPr>
          <w:rFonts w:eastAsia="Century Schoolbook"/>
          <w:color w:val="000000"/>
        </w:rPr>
        <w:fldChar w:fldCharType="end"/>
      </w:r>
      <w:r w:rsidRPr="005647EF">
        <w:rPr>
          <w:rFonts w:eastAsia="Century Schoolbook"/>
          <w:color w:val="000000"/>
        </w:rPr>
        <w:t>.</w:t>
      </w:r>
    </w:p>
  </w:footnote>
  <w:footnote w:id="186">
    <w:p w14:paraId="1C876AFB" w14:textId="55175192" w:rsidR="006E30B5" w:rsidRPr="009F549F" w:rsidRDefault="006E30B5">
      <w:pPr>
        <w:pBdr>
          <w:top w:val="nil"/>
          <w:left w:val="nil"/>
          <w:bottom w:val="nil"/>
          <w:right w:val="nil"/>
          <w:between w:val="nil"/>
        </w:pBdr>
        <w:rPr>
          <w:rFonts w:eastAsia="Century Schoolbook"/>
          <w:color w:val="000000"/>
        </w:rPr>
      </w:pPr>
      <w:r w:rsidRPr="009F549F">
        <w:rPr>
          <w:vertAlign w:val="superscript"/>
        </w:rPr>
        <w:footnoteRef/>
      </w:r>
      <w:r w:rsidRPr="009F549F">
        <w:rPr>
          <w:rFonts w:eastAsia="Century Schoolbook"/>
          <w:color w:val="000000"/>
        </w:rPr>
        <w:t xml:space="preserve"> </w:t>
      </w:r>
      <w:proofErr w:type="spellStart"/>
      <w:r w:rsidRPr="009F549F">
        <w:rPr>
          <w:rFonts w:eastAsia="Century Schoolbook"/>
          <w:color w:val="000000"/>
        </w:rPr>
        <w:t>Blikshteyn</w:t>
      </w:r>
      <w:proofErr w:type="spellEnd"/>
      <w:r w:rsidRPr="007D6E99">
        <w:rPr>
          <w:rFonts w:ascii="Century Schoolbook" w:eastAsia="Century Schoolbook" w:hAnsi="Century Schoolbook" w:cs="Century Schoolbook"/>
          <w:color w:val="000000"/>
          <w:sz w:val="20"/>
          <w:szCs w:val="20"/>
        </w:rPr>
        <w:t xml:space="preserve"> &amp; Rubenstein</w:t>
      </w:r>
      <w:r w:rsidRPr="009F549F">
        <w:rPr>
          <w:rFonts w:eastAsia="Century Schoolbook"/>
          <w:color w:val="000000"/>
        </w:rPr>
        <w:t xml:space="preserve">, </w:t>
      </w:r>
      <w:r w:rsidRPr="009F549F">
        <w:rPr>
          <w:rFonts w:eastAsia="Century Schoolbook"/>
          <w:i/>
          <w:color w:val="000000"/>
        </w:rPr>
        <w:t>supra</w:t>
      </w:r>
      <w:r w:rsidRPr="009F549F">
        <w:rPr>
          <w:rFonts w:eastAsia="Century Schoolbook"/>
          <w:color w:val="000000"/>
        </w:rPr>
        <w:t xml:space="preserve"> note </w:t>
      </w:r>
      <w:r w:rsidRPr="00036097">
        <w:rPr>
          <w:rFonts w:eastAsia="Century Schoolbook"/>
          <w:color w:val="000000"/>
        </w:rPr>
        <w:fldChar w:fldCharType="begin"/>
      </w:r>
      <w:r w:rsidRPr="00036097">
        <w:rPr>
          <w:rFonts w:eastAsia="Century Schoolbook"/>
          <w:color w:val="000000"/>
        </w:rPr>
        <w:instrText xml:space="preserve"> NOTEREF _Ref115721591 \h  \* MERGEFORMAT </w:instrText>
      </w:r>
      <w:r w:rsidRPr="00036097">
        <w:rPr>
          <w:rFonts w:eastAsia="Century Schoolbook"/>
          <w:color w:val="000000"/>
        </w:rPr>
      </w:r>
      <w:r w:rsidRPr="00036097">
        <w:rPr>
          <w:rFonts w:eastAsia="Century Schoolbook"/>
          <w:color w:val="000000"/>
        </w:rPr>
        <w:fldChar w:fldCharType="separate"/>
      </w:r>
      <w:r>
        <w:rPr>
          <w:rFonts w:eastAsia="Century Schoolbook"/>
          <w:color w:val="000000"/>
        </w:rPr>
        <w:t>180</w:t>
      </w:r>
      <w:r w:rsidRPr="00036097">
        <w:rPr>
          <w:rFonts w:eastAsia="Century Schoolbook"/>
          <w:color w:val="000000"/>
        </w:rPr>
        <w:fldChar w:fldCharType="end"/>
      </w:r>
      <w:r w:rsidRPr="00036097">
        <w:rPr>
          <w:rFonts w:eastAsia="Century Schoolbook"/>
          <w:color w:val="000000"/>
        </w:rPr>
        <w:t>.</w:t>
      </w:r>
    </w:p>
  </w:footnote>
  <w:footnote w:id="187">
    <w:p w14:paraId="121FD882" w14:textId="77777777" w:rsidR="006E30B5" w:rsidRPr="009F549F" w:rsidRDefault="006E30B5">
      <w:pPr>
        <w:pBdr>
          <w:top w:val="nil"/>
          <w:left w:val="nil"/>
          <w:bottom w:val="nil"/>
          <w:right w:val="nil"/>
          <w:between w:val="nil"/>
        </w:pBdr>
        <w:rPr>
          <w:rFonts w:eastAsia="Century Schoolbook"/>
          <w:color w:val="000000"/>
        </w:rPr>
      </w:pPr>
      <w:r w:rsidRPr="009F549F">
        <w:rPr>
          <w:vertAlign w:val="superscript"/>
        </w:rPr>
        <w:footnoteRef/>
      </w:r>
      <w:r w:rsidRPr="009F549F">
        <w:rPr>
          <w:rFonts w:eastAsia="Century Schoolbook"/>
          <w:color w:val="000000"/>
        </w:rPr>
        <w:t xml:space="preserve"> </w:t>
      </w:r>
      <w:r w:rsidRPr="009F549F">
        <w:rPr>
          <w:rFonts w:eastAsia="Century Schoolbook"/>
          <w:i/>
          <w:color w:val="000000"/>
        </w:rPr>
        <w:t>Id.</w:t>
      </w:r>
    </w:p>
  </w:footnote>
  <w:footnote w:id="188">
    <w:p w14:paraId="6AC1A4FA" w14:textId="2BB4B3D8" w:rsidR="006E30B5" w:rsidRPr="009F549F" w:rsidRDefault="006E30B5">
      <w:pPr>
        <w:pBdr>
          <w:top w:val="nil"/>
          <w:left w:val="nil"/>
          <w:bottom w:val="nil"/>
          <w:right w:val="nil"/>
          <w:between w:val="nil"/>
        </w:pBdr>
        <w:rPr>
          <w:color w:val="000000"/>
        </w:rPr>
      </w:pPr>
      <w:r w:rsidRPr="009F549F">
        <w:rPr>
          <w:vertAlign w:val="superscript"/>
        </w:rPr>
        <w:footnoteRef/>
      </w:r>
      <w:r w:rsidRPr="009F549F">
        <w:rPr>
          <w:rFonts w:eastAsia="Century Schoolbook"/>
          <w:color w:val="000000"/>
        </w:rPr>
        <w:t xml:space="preserve"> </w:t>
      </w:r>
      <w:proofErr w:type="spellStart"/>
      <w:r w:rsidRPr="009F549F">
        <w:rPr>
          <w:rFonts w:eastAsia="Century Schoolbook"/>
          <w:color w:val="000000"/>
        </w:rPr>
        <w:t>Wunder</w:t>
      </w:r>
      <w:proofErr w:type="spellEnd"/>
      <w:r w:rsidRPr="009F549F">
        <w:rPr>
          <w:rFonts w:eastAsia="Century Schoolbook"/>
          <w:i/>
          <w:color w:val="000000"/>
        </w:rPr>
        <w:t>, supra</w:t>
      </w:r>
      <w:r w:rsidRPr="009F549F">
        <w:rPr>
          <w:rFonts w:eastAsia="Century Schoolbook"/>
          <w:color w:val="000000"/>
        </w:rPr>
        <w:t xml:space="preserve"> note </w:t>
      </w:r>
      <w:r w:rsidRPr="00036097">
        <w:rPr>
          <w:rFonts w:eastAsia="Century Schoolbook"/>
          <w:color w:val="000000"/>
        </w:rPr>
        <w:fldChar w:fldCharType="begin"/>
      </w:r>
      <w:r w:rsidRPr="00036097">
        <w:rPr>
          <w:rFonts w:eastAsia="Century Schoolbook"/>
          <w:color w:val="000000"/>
        </w:rPr>
        <w:instrText xml:space="preserve"> NOTEREF _Ref115721591 \h  \* MERGEFORMAT </w:instrText>
      </w:r>
      <w:r w:rsidRPr="00036097">
        <w:rPr>
          <w:rFonts w:eastAsia="Century Schoolbook"/>
          <w:color w:val="000000"/>
        </w:rPr>
      </w:r>
      <w:r w:rsidRPr="00036097">
        <w:rPr>
          <w:rFonts w:eastAsia="Century Schoolbook"/>
          <w:color w:val="000000"/>
        </w:rPr>
        <w:fldChar w:fldCharType="separate"/>
      </w:r>
      <w:r>
        <w:rPr>
          <w:rFonts w:eastAsia="Century Schoolbook"/>
          <w:color w:val="000000"/>
        </w:rPr>
        <w:t>180</w:t>
      </w:r>
      <w:r w:rsidRPr="00036097">
        <w:rPr>
          <w:rFonts w:eastAsia="Century Schoolbook"/>
          <w:color w:val="000000"/>
        </w:rPr>
        <w:fldChar w:fldCharType="end"/>
      </w:r>
      <w:r w:rsidRPr="009F549F">
        <w:rPr>
          <w:rFonts w:eastAsia="Century Schoolbook"/>
          <w:color w:val="000000"/>
        </w:rPr>
        <w:t xml:space="preserve"> (quoting </w:t>
      </w:r>
      <w:r w:rsidRPr="00036097">
        <w:rPr>
          <w:rFonts w:eastAsia="Century Schoolbook"/>
          <w:smallCaps/>
          <w:color w:val="000000"/>
        </w:rPr>
        <w:t xml:space="preserve">Boris I. </w:t>
      </w:r>
      <w:proofErr w:type="spellStart"/>
      <w:r w:rsidRPr="00036097">
        <w:rPr>
          <w:rFonts w:eastAsia="Century Schoolbook"/>
          <w:smallCaps/>
          <w:color w:val="000000"/>
        </w:rPr>
        <w:t>Bittker</w:t>
      </w:r>
      <w:proofErr w:type="spellEnd"/>
      <w:r w:rsidRPr="00036097">
        <w:rPr>
          <w:rFonts w:eastAsia="Century Schoolbook"/>
          <w:smallCaps/>
          <w:color w:val="000000"/>
        </w:rPr>
        <w:t xml:space="preserve"> &amp; Lawrence </w:t>
      </w:r>
      <w:proofErr w:type="spellStart"/>
      <w:r w:rsidRPr="00036097">
        <w:rPr>
          <w:rFonts w:eastAsia="Century Schoolbook"/>
          <w:smallCaps/>
          <w:color w:val="000000"/>
        </w:rPr>
        <w:t>Lokken</w:t>
      </w:r>
      <w:proofErr w:type="spellEnd"/>
      <w:r w:rsidRPr="00036097">
        <w:rPr>
          <w:rFonts w:eastAsia="Century Schoolbook"/>
          <w:smallCaps/>
          <w:color w:val="000000"/>
        </w:rPr>
        <w:t xml:space="preserve">, </w:t>
      </w:r>
      <w:r w:rsidRPr="009F549F">
        <w:rPr>
          <w:rFonts w:eastAsia="Century Schoolbook"/>
          <w:smallCaps/>
          <w:color w:val="000000"/>
        </w:rPr>
        <w:t>Fundamentals of International Taxation</w:t>
      </w:r>
      <w:r w:rsidRPr="00036097">
        <w:rPr>
          <w:rFonts w:eastAsia="Century Schoolbook"/>
          <w:color w:val="000000"/>
        </w:rPr>
        <w:t xml:space="preserve"> (2d ed.</w:t>
      </w:r>
      <w:r w:rsidRPr="009F549F">
        <w:rPr>
          <w:rFonts w:eastAsia="Century Schoolbook"/>
          <w:color w:val="000000"/>
        </w:rPr>
        <w:t xml:space="preserve"> 1991</w:t>
      </w:r>
      <w:r w:rsidRPr="00036097">
        <w:rPr>
          <w:rFonts w:eastAsia="Century Schoolbook"/>
          <w:color w:val="000000"/>
        </w:rPr>
        <w:t>)).</w:t>
      </w:r>
    </w:p>
  </w:footnote>
  <w:footnote w:id="189">
    <w:p w14:paraId="21E2FC0A" w14:textId="6522F150" w:rsidR="006E30B5" w:rsidRPr="009F549F" w:rsidRDefault="006E30B5">
      <w:pPr>
        <w:pBdr>
          <w:top w:val="nil"/>
          <w:left w:val="nil"/>
          <w:bottom w:val="nil"/>
          <w:right w:val="nil"/>
          <w:between w:val="nil"/>
        </w:pBdr>
        <w:rPr>
          <w:rFonts w:eastAsia="Century Schoolbook"/>
          <w:color w:val="000000"/>
        </w:rPr>
      </w:pPr>
      <w:r w:rsidRPr="009F549F">
        <w:rPr>
          <w:vertAlign w:val="superscript"/>
        </w:rPr>
        <w:footnoteRef/>
      </w:r>
      <w:r w:rsidRPr="009F549F">
        <w:rPr>
          <w:rFonts w:eastAsia="Century Schoolbook"/>
          <w:color w:val="000000"/>
        </w:rPr>
        <w:t xml:space="preserve"> For general discussion of information</w:t>
      </w:r>
      <w:r>
        <w:rPr>
          <w:rFonts w:eastAsia="Century Schoolbook"/>
          <w:color w:val="000000"/>
        </w:rPr>
        <w:t>-</w:t>
      </w:r>
      <w:r w:rsidRPr="009F549F">
        <w:rPr>
          <w:rFonts w:eastAsia="Century Schoolbook"/>
          <w:color w:val="000000"/>
        </w:rPr>
        <w:t xml:space="preserve">generating rules in tax law design, see, e.g., David Gamage, </w:t>
      </w:r>
      <w:r w:rsidRPr="009F549F">
        <w:rPr>
          <w:rFonts w:eastAsia="Century Schoolbook"/>
          <w:i/>
          <w:color w:val="000000"/>
        </w:rPr>
        <w:t xml:space="preserve">A Way Forward for Tax Law and Economics? A Response to </w:t>
      </w:r>
      <w:r w:rsidRPr="00036097">
        <w:rPr>
          <w:rFonts w:eastAsia="Century Schoolbook"/>
          <w:i/>
          <w:color w:val="000000"/>
        </w:rPr>
        <w:t>Osofsky’s “</w:t>
      </w:r>
      <w:r w:rsidRPr="009F549F">
        <w:rPr>
          <w:rFonts w:eastAsia="Century Schoolbook"/>
          <w:i/>
          <w:color w:val="000000"/>
        </w:rPr>
        <w:t>Frictions, Screening, and Tax Law Design</w:t>
      </w:r>
      <w:r w:rsidRPr="00036097">
        <w:rPr>
          <w:rFonts w:eastAsia="Century Schoolbook"/>
          <w:i/>
          <w:color w:val="000000"/>
        </w:rPr>
        <w:t>”</w:t>
      </w:r>
      <w:r w:rsidRPr="00036097">
        <w:rPr>
          <w:rFonts w:eastAsia="Century Schoolbook"/>
          <w:color w:val="000000"/>
        </w:rPr>
        <w:t xml:space="preserve">, 62 </w:t>
      </w:r>
      <w:r w:rsidRPr="00036097">
        <w:rPr>
          <w:rFonts w:eastAsia="Century Schoolbook"/>
          <w:smallCaps/>
          <w:color w:val="000000"/>
        </w:rPr>
        <w:t xml:space="preserve">Buff. L. Rev. </w:t>
      </w:r>
      <w:r w:rsidRPr="009F549F">
        <w:rPr>
          <w:rFonts w:eastAsia="Century Schoolbook"/>
          <w:smallCaps/>
          <w:color w:val="000000"/>
        </w:rPr>
        <w:t xml:space="preserve">189 </w:t>
      </w:r>
      <w:r w:rsidRPr="009F549F">
        <w:rPr>
          <w:rFonts w:eastAsia="Century Schoolbook"/>
          <w:color w:val="000000"/>
        </w:rPr>
        <w:t xml:space="preserve">(2014); Leigh Osofsky, </w:t>
      </w:r>
      <w:r w:rsidRPr="00036097">
        <w:rPr>
          <w:rFonts w:eastAsia="Century Schoolbook"/>
          <w:i/>
          <w:color w:val="000000"/>
        </w:rPr>
        <w:t>Who’s</w:t>
      </w:r>
      <w:r w:rsidRPr="009F549F">
        <w:rPr>
          <w:rFonts w:eastAsia="Century Schoolbook"/>
          <w:i/>
          <w:color w:val="000000"/>
        </w:rPr>
        <w:t xml:space="preserve"> Naughty and </w:t>
      </w:r>
      <w:r w:rsidRPr="00036097">
        <w:rPr>
          <w:rFonts w:eastAsia="Century Schoolbook"/>
          <w:i/>
          <w:color w:val="000000"/>
        </w:rPr>
        <w:t>Who’s</w:t>
      </w:r>
      <w:r w:rsidRPr="009F549F">
        <w:rPr>
          <w:rFonts w:eastAsia="Century Schoolbook"/>
          <w:i/>
          <w:color w:val="000000"/>
        </w:rPr>
        <w:t xml:space="preserve"> Nice? Frictions, Screening, and Tax Law Design</w:t>
      </w:r>
      <w:r w:rsidRPr="009F549F">
        <w:rPr>
          <w:rFonts w:eastAsia="Century Schoolbook"/>
          <w:color w:val="000000"/>
        </w:rPr>
        <w:t xml:space="preserve">, </w:t>
      </w:r>
      <w:r w:rsidRPr="009F549F">
        <w:rPr>
          <w:rFonts w:eastAsia="Century Schoolbook"/>
          <w:smallCaps/>
          <w:color w:val="000000"/>
        </w:rPr>
        <w:t xml:space="preserve">61 </w:t>
      </w:r>
      <w:r w:rsidRPr="00036097">
        <w:rPr>
          <w:rFonts w:eastAsia="Century Schoolbook"/>
          <w:smallCaps/>
          <w:color w:val="000000"/>
        </w:rPr>
        <w:t>Buff.</w:t>
      </w:r>
      <w:r w:rsidRPr="009F549F">
        <w:rPr>
          <w:rFonts w:eastAsia="Century Schoolbook"/>
          <w:smallCaps/>
          <w:color w:val="000000"/>
        </w:rPr>
        <w:t xml:space="preserve"> L. Rev. 1057</w:t>
      </w:r>
      <w:r w:rsidRPr="00036097">
        <w:rPr>
          <w:rFonts w:eastAsia="Century Schoolbook"/>
          <w:smallCaps/>
          <w:color w:val="000000"/>
        </w:rPr>
        <w:t xml:space="preserve"> (2013);</w:t>
      </w:r>
      <w:r w:rsidRPr="009F549F">
        <w:rPr>
          <w:rFonts w:eastAsia="Century Schoolbook"/>
          <w:smallCaps/>
          <w:color w:val="000000"/>
        </w:rPr>
        <w:t xml:space="preserve"> </w:t>
      </w:r>
      <w:r w:rsidRPr="009F549F">
        <w:rPr>
          <w:rFonts w:eastAsia="Century Schoolbook"/>
          <w:color w:val="000000"/>
        </w:rPr>
        <w:t xml:space="preserve">Alex Raskolnikov, </w:t>
      </w:r>
      <w:r w:rsidRPr="009F549F">
        <w:rPr>
          <w:rFonts w:eastAsia="Century Schoolbook"/>
          <w:i/>
          <w:color w:val="000000"/>
        </w:rPr>
        <w:t xml:space="preserve">Revealing Choices: Using Taxpayer Choice </w:t>
      </w:r>
      <w:r w:rsidRPr="00036097">
        <w:rPr>
          <w:rFonts w:eastAsia="Century Schoolbook"/>
          <w:i/>
          <w:color w:val="000000"/>
        </w:rPr>
        <w:t>To</w:t>
      </w:r>
      <w:r w:rsidRPr="009F549F">
        <w:rPr>
          <w:rFonts w:eastAsia="Century Schoolbook"/>
          <w:i/>
          <w:color w:val="000000"/>
        </w:rPr>
        <w:t xml:space="preserve"> Target Tax Enforcement</w:t>
      </w:r>
      <w:r w:rsidRPr="009F549F">
        <w:rPr>
          <w:rFonts w:eastAsia="Century Schoolbook"/>
          <w:color w:val="000000"/>
        </w:rPr>
        <w:t>, 109 </w:t>
      </w:r>
      <w:r w:rsidRPr="009F549F">
        <w:rPr>
          <w:rFonts w:eastAsia="Century Schoolbook"/>
          <w:smallCaps/>
          <w:color w:val="000000"/>
        </w:rPr>
        <w:t>Colum. L. Rev.</w:t>
      </w:r>
      <w:r w:rsidRPr="009F549F">
        <w:rPr>
          <w:rFonts w:eastAsia="Century Schoolbook"/>
          <w:color w:val="000000"/>
        </w:rPr>
        <w:t> 689, 710</w:t>
      </w:r>
      <w:r w:rsidRPr="00036097">
        <w:rPr>
          <w:rFonts w:eastAsia="Century Schoolbook"/>
          <w:color w:val="000000"/>
        </w:rPr>
        <w:t>–</w:t>
      </w:r>
      <w:r w:rsidRPr="009F549F">
        <w:rPr>
          <w:rFonts w:eastAsia="Century Schoolbook"/>
          <w:color w:val="000000"/>
        </w:rPr>
        <w:t>15 (2009).</w:t>
      </w:r>
      <w:r w:rsidRPr="00036097">
        <w:rPr>
          <w:rFonts w:eastAsia="Century Schoolbook"/>
          <w:color w:val="000000"/>
        </w:rPr>
        <w:t xml:space="preserve"> </w:t>
      </w:r>
    </w:p>
  </w:footnote>
  <w:footnote w:id="190">
    <w:p w14:paraId="1BEBD0B8" w14:textId="089076CA" w:rsidR="006E30B5" w:rsidRPr="009F549F" w:rsidRDefault="006E30B5">
      <w:pPr>
        <w:pBdr>
          <w:top w:val="nil"/>
          <w:left w:val="nil"/>
          <w:bottom w:val="nil"/>
          <w:right w:val="nil"/>
          <w:between w:val="nil"/>
        </w:pBdr>
        <w:rPr>
          <w:rFonts w:eastAsia="Century Schoolbook"/>
          <w:color w:val="000000"/>
        </w:rPr>
      </w:pPr>
      <w:r w:rsidRPr="009F549F">
        <w:rPr>
          <w:vertAlign w:val="superscript"/>
        </w:rPr>
        <w:footnoteRef/>
      </w:r>
      <w:r w:rsidRPr="009F549F">
        <w:rPr>
          <w:rFonts w:eastAsia="Century Schoolbook"/>
          <w:color w:val="000000"/>
        </w:rPr>
        <w:t xml:space="preserve"> David </w:t>
      </w:r>
      <w:proofErr w:type="spellStart"/>
      <w:r w:rsidRPr="009F549F">
        <w:rPr>
          <w:rFonts w:eastAsia="Century Schoolbook"/>
          <w:color w:val="000000"/>
        </w:rPr>
        <w:t>Kamin</w:t>
      </w:r>
      <w:proofErr w:type="spellEnd"/>
      <w:r w:rsidRPr="00036097">
        <w:rPr>
          <w:rFonts w:eastAsia="Century Schoolbook"/>
          <w:color w:val="000000"/>
        </w:rPr>
        <w:t xml:space="preserve">, David Gamage, Ari </w:t>
      </w:r>
      <w:proofErr w:type="spellStart"/>
      <w:r w:rsidRPr="00036097">
        <w:rPr>
          <w:rFonts w:eastAsia="Century Schoolbook"/>
          <w:color w:val="000000"/>
        </w:rPr>
        <w:t>Glogower</w:t>
      </w:r>
      <w:proofErr w:type="spellEnd"/>
      <w:r w:rsidRPr="00036097">
        <w:rPr>
          <w:rFonts w:eastAsia="Century Schoolbook"/>
          <w:color w:val="000000"/>
        </w:rPr>
        <w:t xml:space="preserve">, Rebecca </w:t>
      </w:r>
      <w:proofErr w:type="spellStart"/>
      <w:r w:rsidRPr="00036097">
        <w:rPr>
          <w:rFonts w:eastAsia="Century Schoolbook"/>
          <w:color w:val="000000"/>
        </w:rPr>
        <w:t>Kysar</w:t>
      </w:r>
      <w:proofErr w:type="spellEnd"/>
      <w:r w:rsidRPr="00036097">
        <w:rPr>
          <w:rFonts w:eastAsia="Century Schoolbook"/>
          <w:color w:val="000000"/>
        </w:rPr>
        <w:t xml:space="preserve"> &amp; Darien </w:t>
      </w:r>
      <w:proofErr w:type="spellStart"/>
      <w:r w:rsidRPr="00036097">
        <w:rPr>
          <w:rFonts w:eastAsia="Century Schoolbook"/>
          <w:color w:val="000000"/>
        </w:rPr>
        <w:t>Shanske</w:t>
      </w:r>
      <w:proofErr w:type="spellEnd"/>
      <w:r w:rsidRPr="00036097">
        <w:rPr>
          <w:rFonts w:eastAsia="Century Schoolbook"/>
          <w:color w:val="000000"/>
        </w:rPr>
        <w:t>,</w:t>
      </w:r>
      <w:r w:rsidRPr="009F549F">
        <w:rPr>
          <w:rFonts w:eastAsia="Century Schoolbook"/>
          <w:color w:val="000000"/>
        </w:rPr>
        <w:t xml:space="preserve"> </w:t>
      </w:r>
      <w:r w:rsidRPr="009F549F">
        <w:rPr>
          <w:rFonts w:eastAsia="Century Schoolbook"/>
          <w:i/>
          <w:color w:val="000000"/>
        </w:rPr>
        <w:t>The Games They Will Play: Tax Games, Roadblocks, and Glitches Under the 2017 Tax Legislation</w:t>
      </w:r>
      <w:r w:rsidRPr="009F549F">
        <w:rPr>
          <w:rFonts w:eastAsia="Century Schoolbook"/>
          <w:color w:val="000000"/>
        </w:rPr>
        <w:t xml:space="preserve">, 103 </w:t>
      </w:r>
      <w:r w:rsidRPr="009F549F">
        <w:rPr>
          <w:rFonts w:eastAsia="Century Schoolbook"/>
          <w:smallCaps/>
          <w:color w:val="000000"/>
        </w:rPr>
        <w:t>Minn. L. Rev. 1439, 1448 (2019).</w:t>
      </w:r>
    </w:p>
  </w:footnote>
  <w:footnote w:id="191">
    <w:p w14:paraId="40B2E874" w14:textId="2929C600" w:rsidR="006E30B5" w:rsidRPr="009F549F" w:rsidRDefault="006E30B5">
      <w:pPr>
        <w:pBdr>
          <w:top w:val="nil"/>
          <w:left w:val="nil"/>
          <w:bottom w:val="nil"/>
          <w:right w:val="nil"/>
          <w:between w:val="nil"/>
        </w:pBdr>
        <w:rPr>
          <w:rFonts w:eastAsia="Century Schoolbook"/>
          <w:b/>
          <w:color w:val="000000"/>
        </w:rPr>
      </w:pPr>
      <w:r w:rsidRPr="009F549F">
        <w:rPr>
          <w:vertAlign w:val="superscript"/>
        </w:rPr>
        <w:footnoteRef/>
      </w:r>
      <w:r w:rsidRPr="009F549F">
        <w:rPr>
          <w:rFonts w:eastAsia="Century Schoolbook"/>
          <w:color w:val="000000"/>
        </w:rPr>
        <w:t xml:space="preserve"> </w:t>
      </w:r>
      <w:r w:rsidRPr="00210690">
        <w:rPr>
          <w:rFonts w:eastAsia="Century Schoolbook"/>
          <w:i/>
          <w:color w:val="000000"/>
        </w:rPr>
        <w:t>See id</w:t>
      </w:r>
      <w:r w:rsidRPr="009F549F">
        <w:rPr>
          <w:rFonts w:eastAsia="Century Schoolbook"/>
          <w:i/>
          <w:color w:val="000000"/>
        </w:rPr>
        <w:t>.</w:t>
      </w:r>
    </w:p>
  </w:footnote>
  <w:footnote w:id="192">
    <w:p w14:paraId="2A8C7A2A" w14:textId="398F9A36" w:rsidR="006E30B5" w:rsidRPr="009F549F" w:rsidRDefault="006E30B5">
      <w:pPr>
        <w:pBdr>
          <w:top w:val="nil"/>
          <w:left w:val="nil"/>
          <w:bottom w:val="nil"/>
          <w:right w:val="nil"/>
          <w:between w:val="nil"/>
        </w:pBdr>
        <w:rPr>
          <w:rFonts w:eastAsia="Century Schoolbook"/>
          <w:color w:val="000000"/>
        </w:rPr>
      </w:pPr>
      <w:r w:rsidRPr="009F549F">
        <w:rPr>
          <w:vertAlign w:val="superscript"/>
        </w:rPr>
        <w:footnoteRef/>
      </w:r>
      <w:r w:rsidRPr="009F549F">
        <w:rPr>
          <w:rFonts w:eastAsia="Century Schoolbook"/>
          <w:color w:val="000000"/>
        </w:rPr>
        <w:t xml:space="preserve"> </w:t>
      </w:r>
      <w:r w:rsidRPr="00036097">
        <w:rPr>
          <w:rFonts w:eastAsia="Century Schoolbook"/>
          <w:i/>
          <w:color w:val="000000"/>
        </w:rPr>
        <w:t>See id</w:t>
      </w:r>
      <w:r w:rsidRPr="00432914">
        <w:rPr>
          <w:rFonts w:eastAsia="Century Schoolbook"/>
          <w:i/>
          <w:color w:val="000000"/>
        </w:rPr>
        <w:t>.</w:t>
      </w:r>
      <w:r w:rsidRPr="00036097">
        <w:rPr>
          <w:rFonts w:eastAsia="Century Schoolbook"/>
          <w:color w:val="000000"/>
        </w:rPr>
        <w:t xml:space="preserve"> </w:t>
      </w:r>
    </w:p>
  </w:footnote>
  <w:footnote w:id="193">
    <w:p w14:paraId="6A3776CB" w14:textId="2711F249" w:rsidR="006E30B5" w:rsidRPr="009F549F" w:rsidRDefault="006E30B5">
      <w:pPr>
        <w:pBdr>
          <w:top w:val="nil"/>
          <w:left w:val="nil"/>
          <w:bottom w:val="nil"/>
          <w:right w:val="nil"/>
          <w:between w:val="nil"/>
        </w:pBdr>
        <w:rPr>
          <w:rFonts w:eastAsia="Century Schoolbook"/>
          <w:color w:val="000000"/>
        </w:rPr>
      </w:pPr>
      <w:r w:rsidRPr="009F549F">
        <w:rPr>
          <w:vertAlign w:val="superscript"/>
        </w:rPr>
        <w:footnoteRef/>
      </w:r>
      <w:r w:rsidRPr="009F549F">
        <w:rPr>
          <w:rFonts w:eastAsia="Century Schoolbook"/>
          <w:color w:val="000000"/>
        </w:rPr>
        <w:t xml:space="preserve"> </w:t>
      </w:r>
      <w:r w:rsidRPr="009F549F">
        <w:rPr>
          <w:rFonts w:eastAsia="Century Schoolbook"/>
          <w:i/>
          <w:color w:val="000000"/>
        </w:rPr>
        <w:t xml:space="preserve">See </w:t>
      </w:r>
      <w:proofErr w:type="spellStart"/>
      <w:r w:rsidRPr="009F549F">
        <w:rPr>
          <w:rFonts w:eastAsia="Century Schoolbook"/>
          <w:color w:val="000000"/>
        </w:rPr>
        <w:t>Benshalom</w:t>
      </w:r>
      <w:proofErr w:type="spellEnd"/>
      <w:r w:rsidRPr="009F549F">
        <w:rPr>
          <w:rFonts w:eastAsia="Century Schoolbook"/>
          <w:color w:val="000000"/>
        </w:rPr>
        <w:t xml:space="preserve"> &amp; Stead, </w:t>
      </w:r>
      <w:r w:rsidRPr="009F549F">
        <w:rPr>
          <w:rFonts w:eastAsia="Century Schoolbook"/>
          <w:i/>
          <w:color w:val="000000"/>
        </w:rPr>
        <w:t xml:space="preserve">supra </w:t>
      </w:r>
      <w:r w:rsidRPr="009F549F">
        <w:rPr>
          <w:rFonts w:eastAsia="Century Schoolbook"/>
          <w:color w:val="000000"/>
        </w:rPr>
        <w:t xml:space="preserve">note </w:t>
      </w:r>
      <w:r w:rsidRPr="00036097">
        <w:rPr>
          <w:rFonts w:eastAsia="Century Schoolbook"/>
          <w:color w:val="000000"/>
        </w:rPr>
        <w:fldChar w:fldCharType="begin"/>
      </w:r>
      <w:r w:rsidRPr="00036097">
        <w:rPr>
          <w:rFonts w:eastAsia="Century Schoolbook"/>
          <w:color w:val="000000"/>
        </w:rPr>
        <w:instrText xml:space="preserve"> NOTEREF _Ref115301504 \h  \* MERGEFORMAT </w:instrText>
      </w:r>
      <w:r w:rsidRPr="00036097">
        <w:rPr>
          <w:rFonts w:eastAsia="Century Schoolbook"/>
          <w:color w:val="000000"/>
        </w:rPr>
      </w:r>
      <w:r w:rsidRPr="00036097">
        <w:rPr>
          <w:rFonts w:eastAsia="Century Schoolbook"/>
          <w:color w:val="000000"/>
        </w:rPr>
        <w:fldChar w:fldCharType="separate"/>
      </w:r>
      <w:r>
        <w:rPr>
          <w:rFonts w:eastAsia="Century Schoolbook"/>
          <w:color w:val="000000"/>
        </w:rPr>
        <w:t>48</w:t>
      </w:r>
      <w:r w:rsidRPr="00036097">
        <w:rPr>
          <w:rFonts w:eastAsia="Century Schoolbook"/>
          <w:color w:val="000000"/>
        </w:rPr>
        <w:fldChar w:fldCharType="end"/>
      </w:r>
      <w:r w:rsidRPr="00036097">
        <w:rPr>
          <w:rFonts w:eastAsia="Century Schoolbook"/>
          <w:color w:val="000000"/>
        </w:rPr>
        <w:t>,</w:t>
      </w:r>
      <w:r w:rsidRPr="009F549F">
        <w:rPr>
          <w:rFonts w:eastAsia="Century Schoolbook"/>
          <w:color w:val="000000"/>
        </w:rPr>
        <w:t xml:space="preserve"> at 52 (explaining how realization creates the need for corporate and partnership tax regimes).</w:t>
      </w:r>
    </w:p>
  </w:footnote>
  <w:footnote w:id="194">
    <w:p w14:paraId="6CD54C45" w14:textId="728AE0F9" w:rsidR="006E30B5" w:rsidRPr="009F549F" w:rsidRDefault="006E30B5">
      <w:pPr>
        <w:pBdr>
          <w:top w:val="nil"/>
          <w:left w:val="nil"/>
          <w:bottom w:val="nil"/>
          <w:right w:val="nil"/>
          <w:between w:val="nil"/>
        </w:pBdr>
        <w:rPr>
          <w:rFonts w:eastAsia="Century Schoolbook"/>
          <w:color w:val="000000"/>
        </w:rPr>
      </w:pPr>
      <w:r w:rsidRPr="009F549F">
        <w:rPr>
          <w:vertAlign w:val="superscript"/>
        </w:rPr>
        <w:footnoteRef/>
      </w:r>
      <w:r w:rsidRPr="009F549F">
        <w:rPr>
          <w:rFonts w:eastAsia="Century Schoolbook"/>
          <w:color w:val="000000"/>
        </w:rPr>
        <w:t xml:space="preserve"> </w:t>
      </w:r>
      <w:proofErr w:type="spellStart"/>
      <w:r w:rsidRPr="009F549F">
        <w:rPr>
          <w:rFonts w:eastAsia="Century Schoolbook"/>
          <w:color w:val="000000"/>
        </w:rPr>
        <w:t>Glogower</w:t>
      </w:r>
      <w:proofErr w:type="spellEnd"/>
      <w:r w:rsidRPr="009F549F">
        <w:rPr>
          <w:rFonts w:eastAsia="Century Schoolbook"/>
          <w:color w:val="000000"/>
        </w:rPr>
        <w:t xml:space="preserve">, </w:t>
      </w:r>
      <w:r w:rsidRPr="009F549F">
        <w:rPr>
          <w:rFonts w:eastAsia="Century Schoolbook"/>
          <w:i/>
          <w:color w:val="000000"/>
        </w:rPr>
        <w:t>supra</w:t>
      </w:r>
      <w:r w:rsidRPr="009F549F">
        <w:rPr>
          <w:rFonts w:eastAsia="Century Schoolbook"/>
          <w:color w:val="000000"/>
        </w:rPr>
        <w:t xml:space="preserve"> note </w:t>
      </w:r>
      <w:r w:rsidRPr="00036097">
        <w:rPr>
          <w:rFonts w:eastAsia="Century Schoolbook"/>
          <w:color w:val="000000"/>
        </w:rPr>
        <w:fldChar w:fldCharType="begin"/>
      </w:r>
      <w:r w:rsidRPr="00036097">
        <w:rPr>
          <w:rFonts w:eastAsia="Century Schoolbook"/>
          <w:color w:val="000000"/>
        </w:rPr>
        <w:instrText xml:space="preserve"> NOTEREF _Ref115603608 \h  \* MERGEFORMAT </w:instrText>
      </w:r>
      <w:r w:rsidRPr="00036097">
        <w:rPr>
          <w:rFonts w:eastAsia="Century Schoolbook"/>
          <w:color w:val="000000"/>
        </w:rPr>
      </w:r>
      <w:r w:rsidRPr="00036097">
        <w:rPr>
          <w:rFonts w:eastAsia="Century Schoolbook"/>
          <w:color w:val="000000"/>
        </w:rPr>
        <w:fldChar w:fldCharType="separate"/>
      </w:r>
      <w:r>
        <w:rPr>
          <w:rFonts w:eastAsia="Century Schoolbook"/>
          <w:color w:val="000000"/>
        </w:rPr>
        <w:t>64</w:t>
      </w:r>
      <w:r w:rsidRPr="00036097">
        <w:rPr>
          <w:rFonts w:eastAsia="Century Schoolbook"/>
          <w:color w:val="000000"/>
        </w:rPr>
        <w:fldChar w:fldCharType="end"/>
      </w:r>
      <w:r w:rsidRPr="00036097">
        <w:rPr>
          <w:rFonts w:eastAsia="Century Schoolbook"/>
          <w:color w:val="000000"/>
        </w:rPr>
        <w:t>,</w:t>
      </w:r>
      <w:r w:rsidRPr="009F549F">
        <w:rPr>
          <w:rFonts w:eastAsia="Century Schoolbook"/>
          <w:color w:val="000000"/>
        </w:rPr>
        <w:t xml:space="preserve"> at 153.</w:t>
      </w:r>
      <w:r w:rsidRPr="00036097">
        <w:rPr>
          <w:rFonts w:eastAsia="Century Schoolbook"/>
          <w:color w:val="000000"/>
        </w:rPr>
        <w:t xml:space="preserve"> </w:t>
      </w:r>
    </w:p>
  </w:footnote>
  <w:footnote w:id="195">
    <w:p w14:paraId="4DDBDCF1" w14:textId="0B7A8C5A" w:rsidR="006E30B5" w:rsidRPr="009F549F" w:rsidRDefault="006E30B5">
      <w:pPr>
        <w:pBdr>
          <w:top w:val="nil"/>
          <w:left w:val="nil"/>
          <w:bottom w:val="nil"/>
          <w:right w:val="nil"/>
          <w:between w:val="nil"/>
        </w:pBdr>
        <w:rPr>
          <w:color w:val="000000"/>
        </w:rPr>
      </w:pPr>
      <w:r w:rsidRPr="009F549F">
        <w:rPr>
          <w:vertAlign w:val="superscript"/>
        </w:rPr>
        <w:footnoteRef/>
      </w:r>
      <w:r w:rsidRPr="009F549F">
        <w:rPr>
          <w:rFonts w:eastAsia="Century Schoolbook"/>
          <w:color w:val="000000"/>
        </w:rPr>
        <w:t xml:space="preserve"> Gamage &amp; Brooks, </w:t>
      </w:r>
      <w:r w:rsidRPr="009F549F">
        <w:rPr>
          <w:rFonts w:eastAsia="Century Schoolbook"/>
          <w:i/>
          <w:color w:val="000000"/>
        </w:rPr>
        <w:t>supra</w:t>
      </w:r>
      <w:r w:rsidRPr="009F549F">
        <w:rPr>
          <w:rFonts w:eastAsia="Century Schoolbook"/>
          <w:color w:val="000000"/>
        </w:rPr>
        <w:t xml:space="preserve"> note </w:t>
      </w:r>
      <w:r w:rsidRPr="00036097">
        <w:rPr>
          <w:rFonts w:eastAsia="Century Schoolbook"/>
          <w:color w:val="000000"/>
        </w:rPr>
        <w:fldChar w:fldCharType="begin"/>
      </w:r>
      <w:r w:rsidRPr="00036097">
        <w:rPr>
          <w:rFonts w:eastAsia="Century Schoolbook"/>
          <w:color w:val="000000"/>
        </w:rPr>
        <w:instrText xml:space="preserve"> NOTEREF _Ref115336225 \h  \* MERGEFORMAT </w:instrText>
      </w:r>
      <w:r w:rsidRPr="00036097">
        <w:rPr>
          <w:rFonts w:eastAsia="Century Schoolbook"/>
          <w:color w:val="000000"/>
        </w:rPr>
      </w:r>
      <w:r w:rsidRPr="00036097">
        <w:rPr>
          <w:rFonts w:eastAsia="Century Schoolbook"/>
          <w:color w:val="000000"/>
        </w:rPr>
        <w:fldChar w:fldCharType="separate"/>
      </w:r>
      <w:r>
        <w:rPr>
          <w:rFonts w:eastAsia="Century Schoolbook"/>
          <w:color w:val="000000"/>
        </w:rPr>
        <w:t>6</w:t>
      </w:r>
      <w:r w:rsidRPr="00036097">
        <w:rPr>
          <w:rFonts w:eastAsia="Century Schoolbook"/>
          <w:color w:val="000000"/>
        </w:rPr>
        <w:fldChar w:fldCharType="end"/>
      </w:r>
      <w:r w:rsidRPr="00036097">
        <w:rPr>
          <w:rFonts w:eastAsia="Century Schoolbook"/>
          <w:color w:val="000000"/>
        </w:rPr>
        <w:t>,</w:t>
      </w:r>
      <w:r w:rsidRPr="009F549F">
        <w:rPr>
          <w:rFonts w:eastAsia="Century Schoolbook"/>
          <w:color w:val="000000"/>
        </w:rPr>
        <w:t xml:space="preserve"> at 549</w:t>
      </w:r>
      <w:r w:rsidRPr="00036097">
        <w:rPr>
          <w:rFonts w:eastAsia="Century Schoolbook"/>
          <w:color w:val="000000"/>
        </w:rPr>
        <w:t>–</w:t>
      </w:r>
      <w:r w:rsidRPr="009F549F">
        <w:rPr>
          <w:rFonts w:eastAsia="Century Schoolbook"/>
          <w:color w:val="000000"/>
        </w:rPr>
        <w:t>53.</w:t>
      </w:r>
    </w:p>
  </w:footnote>
  <w:footnote w:id="196">
    <w:p w14:paraId="4B55DC46" w14:textId="77777777" w:rsidR="006E30B5" w:rsidRPr="00C43C1B" w:rsidRDefault="006E30B5" w:rsidP="000A0F90">
      <w:pPr>
        <w:pBdr>
          <w:top w:val="nil"/>
          <w:left w:val="nil"/>
          <w:bottom w:val="nil"/>
          <w:right w:val="nil"/>
          <w:between w:val="nil"/>
        </w:pBdr>
        <w:rPr>
          <w:rFonts w:eastAsia="Century Schoolbook"/>
          <w:color w:val="000000"/>
        </w:rPr>
      </w:pPr>
      <w:r w:rsidRPr="00C43C1B">
        <w:rPr>
          <w:vertAlign w:val="superscript"/>
        </w:rPr>
        <w:footnoteRef/>
      </w:r>
      <w:r w:rsidRPr="00C43C1B">
        <w:rPr>
          <w:rFonts w:eastAsia="Century Schoolbook"/>
          <w:color w:val="000000"/>
        </w:rPr>
        <w:t xml:space="preserve"> For examples of how this currently works, see </w:t>
      </w:r>
      <w:r w:rsidRPr="00C43C1B">
        <w:rPr>
          <w:rFonts w:eastAsia="Century Schoolbook"/>
          <w:i/>
          <w:color w:val="000000"/>
        </w:rPr>
        <w:t>Cost Basis: Tracking Your Tax Basis</w:t>
      </w:r>
      <w:r w:rsidRPr="00C43C1B">
        <w:rPr>
          <w:rFonts w:eastAsia="Century Schoolbook"/>
          <w:color w:val="000000"/>
        </w:rPr>
        <w:t xml:space="preserve">, </w:t>
      </w:r>
      <w:r w:rsidRPr="00C43C1B">
        <w:rPr>
          <w:rFonts w:eastAsia="Century Schoolbook"/>
          <w:smallCaps/>
          <w:color w:val="000000"/>
        </w:rPr>
        <w:t>Intuit TurboTax</w:t>
      </w:r>
      <w:r w:rsidRPr="00036097">
        <w:rPr>
          <w:rFonts w:eastAsia="Century Schoolbook"/>
          <w:color w:val="000000"/>
        </w:rPr>
        <w:t xml:space="preserve"> (</w:t>
      </w:r>
      <w:r w:rsidRPr="00C43C1B">
        <w:rPr>
          <w:rFonts w:eastAsia="Century Schoolbook"/>
          <w:color w:val="000000"/>
        </w:rPr>
        <w:t xml:space="preserve">Jan. 21, 2022, </w:t>
      </w:r>
      <w:r w:rsidRPr="00036097">
        <w:rPr>
          <w:rFonts w:eastAsia="Century Schoolbook"/>
          <w:color w:val="000000"/>
        </w:rPr>
        <w:t xml:space="preserve">11:54 AM), </w:t>
      </w:r>
      <w:r w:rsidRPr="00C43C1B">
        <w:rPr>
          <w:rFonts w:eastAsia="Century Schoolbook"/>
          <w:color w:val="000000"/>
        </w:rPr>
        <w:t>https://turbotax.intuit.com/</w:t>
      </w:r>
      <w:r>
        <w:rPr>
          <w:rFonts w:eastAsia="Century Schoolbook"/>
          <w:color w:val="000000"/>
        </w:rPr>
        <w:br/>
      </w:r>
      <w:r w:rsidRPr="00C43C1B">
        <w:rPr>
          <w:rFonts w:eastAsia="Century Schoolbook"/>
          <w:color w:val="000000"/>
        </w:rPr>
        <w:t>tax-tips/rental-property/cost-basis-tracking-your-tax-basis/L4i1f9qB1</w:t>
      </w:r>
      <w:r w:rsidRPr="00036097">
        <w:rPr>
          <w:rFonts w:eastAsia="Century Schoolbook"/>
          <w:color w:val="000000"/>
        </w:rPr>
        <w:t xml:space="preserve"> [https://perma.cc/F4FF-RUM9].</w:t>
      </w:r>
    </w:p>
  </w:footnote>
  <w:footnote w:id="197">
    <w:p w14:paraId="06B7D65B" w14:textId="5A47AB9D" w:rsidR="006E30B5" w:rsidRPr="009F549F" w:rsidRDefault="006E30B5">
      <w:pPr>
        <w:pBdr>
          <w:top w:val="nil"/>
          <w:left w:val="nil"/>
          <w:bottom w:val="nil"/>
          <w:right w:val="nil"/>
          <w:between w:val="nil"/>
        </w:pBdr>
        <w:rPr>
          <w:rFonts w:eastAsia="Century Schoolbook"/>
          <w:color w:val="000000"/>
        </w:rPr>
      </w:pPr>
      <w:r w:rsidRPr="009F549F">
        <w:rPr>
          <w:vertAlign w:val="superscript"/>
        </w:rPr>
        <w:footnoteRef/>
      </w:r>
      <w:r w:rsidRPr="009F549F">
        <w:rPr>
          <w:rFonts w:eastAsia="Century Schoolbook"/>
          <w:color w:val="000000"/>
        </w:rPr>
        <w:t xml:space="preserve"> </w:t>
      </w:r>
      <w:r w:rsidRPr="009F549F">
        <w:rPr>
          <w:rFonts w:eastAsia="Century Schoolbook"/>
          <w:i/>
          <w:color w:val="000000"/>
        </w:rPr>
        <w:t>See</w:t>
      </w:r>
      <w:r w:rsidRPr="009F549F">
        <w:rPr>
          <w:rFonts w:eastAsia="Century Schoolbook"/>
          <w:color w:val="000000"/>
        </w:rPr>
        <w:t xml:space="preserve"> T.D. 9504</w:t>
      </w:r>
      <w:r w:rsidRPr="00036097">
        <w:rPr>
          <w:rFonts w:eastAsia="Century Schoolbook"/>
          <w:color w:val="000000"/>
        </w:rPr>
        <w:t>, 2010-47 I.R.B. 670</w:t>
      </w:r>
      <w:r w:rsidRPr="009F549F">
        <w:rPr>
          <w:rFonts w:eastAsia="Century Schoolbook"/>
          <w:color w:val="000000"/>
        </w:rPr>
        <w:t xml:space="preserve"> (announcing new regulations requiring brokers and select other institutions to track customer basis).</w:t>
      </w:r>
    </w:p>
  </w:footnote>
  <w:footnote w:id="198">
    <w:p w14:paraId="55A71B80" w14:textId="5D6D7296" w:rsidR="006E30B5" w:rsidRPr="009F549F" w:rsidRDefault="006E30B5">
      <w:pPr>
        <w:pBdr>
          <w:top w:val="nil"/>
          <w:left w:val="nil"/>
          <w:bottom w:val="nil"/>
          <w:right w:val="nil"/>
          <w:between w:val="nil"/>
        </w:pBdr>
        <w:rPr>
          <w:rFonts w:eastAsia="Century Schoolbook"/>
          <w:color w:val="000000"/>
        </w:rPr>
      </w:pPr>
      <w:r w:rsidRPr="009F549F">
        <w:rPr>
          <w:vertAlign w:val="superscript"/>
        </w:rPr>
        <w:footnoteRef/>
      </w:r>
      <w:r w:rsidRPr="009F549F">
        <w:rPr>
          <w:rFonts w:eastAsia="Century Schoolbook"/>
          <w:color w:val="000000"/>
        </w:rPr>
        <w:t xml:space="preserve"> Treas. Reg. </w:t>
      </w:r>
      <w:r w:rsidRPr="00036097">
        <w:rPr>
          <w:rFonts w:eastAsia="Century Schoolbook"/>
          <w:color w:val="000000"/>
        </w:rPr>
        <w:t>§ </w:t>
      </w:r>
      <w:r w:rsidRPr="009F549F">
        <w:rPr>
          <w:rFonts w:eastAsia="Century Schoolbook"/>
          <w:color w:val="000000"/>
        </w:rPr>
        <w:t>1.1012-1(e)(1).</w:t>
      </w:r>
    </w:p>
  </w:footnote>
  <w:footnote w:id="199">
    <w:p w14:paraId="7EF84945" w14:textId="21794FC0" w:rsidR="006E30B5" w:rsidRPr="009F549F" w:rsidRDefault="006E30B5">
      <w:pPr>
        <w:pBdr>
          <w:top w:val="nil"/>
          <w:left w:val="nil"/>
          <w:bottom w:val="nil"/>
          <w:right w:val="nil"/>
          <w:between w:val="nil"/>
        </w:pBdr>
        <w:rPr>
          <w:rFonts w:eastAsia="Century Schoolbook"/>
          <w:color w:val="000000"/>
        </w:rPr>
      </w:pPr>
      <w:r w:rsidRPr="009F549F">
        <w:rPr>
          <w:vertAlign w:val="superscript"/>
        </w:rPr>
        <w:footnoteRef/>
      </w:r>
      <w:r w:rsidRPr="009F549F">
        <w:rPr>
          <w:rFonts w:eastAsia="Century Schoolbook"/>
          <w:color w:val="000000"/>
        </w:rPr>
        <w:t xml:space="preserve"> That is, the notional equity interest owed to the government would increase by 1 percent</w:t>
      </w:r>
      <w:r w:rsidRPr="00273101">
        <w:rPr>
          <w:rFonts w:eastAsia="Century Schoolbook"/>
          <w:color w:val="000000"/>
        </w:rPr>
        <w:t xml:space="preserve"> </w:t>
      </w:r>
      <w:r w:rsidRPr="009F549F">
        <w:rPr>
          <w:rFonts w:eastAsia="Century Schoolbook"/>
          <w:color w:val="000000"/>
        </w:rPr>
        <w:t>×</w:t>
      </w:r>
      <w:r w:rsidRPr="00273101">
        <w:rPr>
          <w:rFonts w:eastAsia="Century Schoolbook"/>
          <w:color w:val="000000"/>
        </w:rPr>
        <w:t xml:space="preserve"> </w:t>
      </w:r>
      <w:r w:rsidRPr="009F549F">
        <w:rPr>
          <w:rFonts w:eastAsia="Century Schoolbook"/>
          <w:color w:val="000000"/>
        </w:rPr>
        <w:t>(100 percent</w:t>
      </w:r>
      <w:r w:rsidRPr="00273101">
        <w:rPr>
          <w:rFonts w:eastAsia="Century Schoolbook"/>
          <w:color w:val="000000"/>
        </w:rPr>
        <w:t xml:space="preserve"> </w:t>
      </w:r>
      <w:r w:rsidRPr="009F549F">
        <w:rPr>
          <w:rFonts w:eastAsia="Century Schoolbook"/>
          <w:color w:val="000000"/>
        </w:rPr>
        <w:t>– 1 percent) = 0.99 percent</w:t>
      </w:r>
      <w:r w:rsidRPr="00273101">
        <w:rPr>
          <w:rFonts w:eastAsia="Century Schoolbook"/>
          <w:color w:val="000000"/>
        </w:rPr>
        <w:t>,</w:t>
      </w:r>
      <w:r w:rsidRPr="009F549F">
        <w:rPr>
          <w:rFonts w:eastAsia="Century Schoolbook"/>
          <w:color w:val="000000"/>
        </w:rPr>
        <w:t xml:space="preserve"> so that the taxpayer would enter year </w:t>
      </w:r>
      <w:r w:rsidRPr="00036097">
        <w:rPr>
          <w:rFonts w:eastAsia="Century Schoolbook"/>
          <w:color w:val="000000"/>
        </w:rPr>
        <w:t>three</w:t>
      </w:r>
      <w:r w:rsidRPr="009F549F">
        <w:rPr>
          <w:rFonts w:eastAsia="Century Schoolbook"/>
          <w:color w:val="000000"/>
        </w:rPr>
        <w:t xml:space="preserve"> with a total notional equity interest owed to the government of 1.99</w:t>
      </w:r>
      <w:r>
        <w:rPr>
          <w:rFonts w:eastAsia="Century Schoolbook"/>
          <w:color w:val="000000"/>
        </w:rPr>
        <w:t xml:space="preserve"> percent</w:t>
      </w:r>
      <w:r w:rsidRPr="009F549F">
        <w:rPr>
          <w:rFonts w:eastAsia="Century Schoolbook"/>
          <w:color w:val="000000"/>
        </w:rPr>
        <w:t>.</w:t>
      </w:r>
    </w:p>
  </w:footnote>
  <w:footnote w:id="200">
    <w:p w14:paraId="161FCD23" w14:textId="29C8862D" w:rsidR="006E30B5" w:rsidRPr="009F549F" w:rsidRDefault="006E30B5">
      <w:pPr>
        <w:pBdr>
          <w:top w:val="nil"/>
          <w:left w:val="nil"/>
          <w:bottom w:val="nil"/>
          <w:right w:val="nil"/>
          <w:between w:val="nil"/>
        </w:pBdr>
        <w:rPr>
          <w:rFonts w:eastAsia="Century Schoolbook"/>
          <w:color w:val="000000"/>
        </w:rPr>
      </w:pPr>
      <w:r w:rsidRPr="009F549F">
        <w:rPr>
          <w:vertAlign w:val="superscript"/>
        </w:rPr>
        <w:footnoteRef/>
      </w:r>
      <w:r w:rsidRPr="009F549F">
        <w:rPr>
          <w:rFonts w:eastAsia="Century Schoolbook"/>
          <w:color w:val="000000"/>
        </w:rPr>
        <w:t xml:space="preserve"> Continuing the example, the notional equity interest would be increased by another 1 percent</w:t>
      </w:r>
      <w:r w:rsidRPr="008677E0">
        <w:rPr>
          <w:rFonts w:eastAsia="Century Schoolbook"/>
          <w:color w:val="000000"/>
        </w:rPr>
        <w:t xml:space="preserve"> </w:t>
      </w:r>
      <w:r w:rsidRPr="009F549F">
        <w:rPr>
          <w:rFonts w:eastAsia="Century Schoolbook"/>
          <w:color w:val="000000"/>
        </w:rPr>
        <w:t>×</w:t>
      </w:r>
      <w:r w:rsidRPr="008677E0">
        <w:rPr>
          <w:rFonts w:eastAsia="Century Schoolbook"/>
          <w:color w:val="000000"/>
        </w:rPr>
        <w:t xml:space="preserve"> </w:t>
      </w:r>
      <w:r w:rsidRPr="009F549F">
        <w:rPr>
          <w:rFonts w:eastAsia="Century Schoolbook"/>
          <w:color w:val="000000"/>
        </w:rPr>
        <w:t>(100 percent</w:t>
      </w:r>
      <w:r w:rsidRPr="008677E0">
        <w:rPr>
          <w:rFonts w:eastAsia="Century Schoolbook"/>
          <w:color w:val="000000"/>
        </w:rPr>
        <w:t xml:space="preserve"> </w:t>
      </w:r>
      <w:r w:rsidRPr="009F549F">
        <w:rPr>
          <w:rFonts w:eastAsia="Century Schoolbook"/>
          <w:color w:val="000000"/>
        </w:rPr>
        <w:t>− 1.99 percent) = 0.9801</w:t>
      </w:r>
      <w:r>
        <w:rPr>
          <w:rFonts w:eastAsia="Century Schoolbook"/>
          <w:color w:val="000000"/>
        </w:rPr>
        <w:t xml:space="preserve"> </w:t>
      </w:r>
      <w:r w:rsidRPr="009F549F">
        <w:rPr>
          <w:rFonts w:eastAsia="Century Schoolbook"/>
          <w:color w:val="000000"/>
        </w:rPr>
        <w:t xml:space="preserve">percent in year </w:t>
      </w:r>
      <w:r w:rsidRPr="008677E0">
        <w:rPr>
          <w:rFonts w:eastAsia="Century Schoolbook"/>
          <w:color w:val="000000"/>
        </w:rPr>
        <w:t>three</w:t>
      </w:r>
      <w:r w:rsidRPr="009F549F">
        <w:rPr>
          <w:rFonts w:eastAsia="Century Schoolbook"/>
          <w:color w:val="000000"/>
        </w:rPr>
        <w:t>, bringing the total notional equity interest owed to the government to 2.9701</w:t>
      </w:r>
      <w:r>
        <w:rPr>
          <w:rFonts w:eastAsia="Century Schoolbook"/>
          <w:color w:val="000000"/>
        </w:rPr>
        <w:t xml:space="preserve"> percent</w:t>
      </w:r>
      <w:r w:rsidRPr="009F549F">
        <w:rPr>
          <w:rFonts w:eastAsia="Century Schoolbook"/>
          <w:color w:val="000000"/>
        </w:rPr>
        <w:t xml:space="preserve"> at the end of year </w:t>
      </w:r>
      <w:r w:rsidRPr="00036097">
        <w:rPr>
          <w:rFonts w:eastAsia="Century Schoolbook"/>
          <w:color w:val="000000"/>
        </w:rPr>
        <w:t>three</w:t>
      </w:r>
      <w:r w:rsidRPr="009F549F">
        <w:rPr>
          <w:rFonts w:eastAsia="Century Schoolbook"/>
          <w:color w:val="000000"/>
        </w:rPr>
        <w:t xml:space="preserve">. Then in year </w:t>
      </w:r>
      <w:r w:rsidRPr="00036097">
        <w:rPr>
          <w:rFonts w:eastAsia="Century Schoolbook"/>
          <w:color w:val="000000"/>
        </w:rPr>
        <w:t>four</w:t>
      </w:r>
      <w:r w:rsidRPr="009F549F">
        <w:rPr>
          <w:rFonts w:eastAsia="Century Schoolbook"/>
          <w:color w:val="000000"/>
        </w:rPr>
        <w:t>, the notional equity interest owed to the government would be increased by another 1</w:t>
      </w:r>
      <w:r>
        <w:rPr>
          <w:rFonts w:eastAsia="Century Schoolbook"/>
          <w:color w:val="000000"/>
        </w:rPr>
        <w:t xml:space="preserve"> percent</w:t>
      </w:r>
      <w:r w:rsidRPr="00036097">
        <w:rPr>
          <w:rFonts w:eastAsia="Century Schoolbook"/>
          <w:color w:val="000000"/>
        </w:rPr>
        <w:t xml:space="preserve"> </w:t>
      </w:r>
      <w:r>
        <w:rPr>
          <w:rFonts w:eastAsia="Century Schoolbook"/>
          <w:color w:val="000000"/>
        </w:rPr>
        <w:t>×</w:t>
      </w:r>
      <w:r w:rsidRPr="00036097">
        <w:rPr>
          <w:rFonts w:eastAsia="Century Schoolbook"/>
          <w:color w:val="000000"/>
        </w:rPr>
        <w:t xml:space="preserve"> </w:t>
      </w:r>
      <w:r>
        <w:rPr>
          <w:rFonts w:eastAsia="Century Schoolbook"/>
          <w:color w:val="000000"/>
        </w:rPr>
        <w:t>(</w:t>
      </w:r>
      <w:r w:rsidRPr="009F549F">
        <w:rPr>
          <w:rFonts w:eastAsia="Century Schoolbook"/>
          <w:color w:val="000000"/>
        </w:rPr>
        <w:t>100</w:t>
      </w:r>
      <w:r>
        <w:rPr>
          <w:rFonts w:eastAsia="Century Schoolbook"/>
          <w:color w:val="000000"/>
        </w:rPr>
        <w:t xml:space="preserve"> percent</w:t>
      </w:r>
      <w:r w:rsidRPr="00036097">
        <w:rPr>
          <w:rFonts w:eastAsia="Century Schoolbook"/>
          <w:color w:val="000000"/>
        </w:rPr>
        <w:t xml:space="preserve"> </w:t>
      </w:r>
      <w:r>
        <w:rPr>
          <w:rFonts w:eastAsia="Century Schoolbook"/>
          <w:color w:val="000000"/>
        </w:rPr>
        <w:t>−</w:t>
      </w:r>
      <w:r w:rsidRPr="009F549F">
        <w:rPr>
          <w:rFonts w:eastAsia="Century Schoolbook"/>
          <w:color w:val="000000"/>
        </w:rPr>
        <w:t xml:space="preserve"> 2.9701</w:t>
      </w:r>
      <w:r>
        <w:rPr>
          <w:rFonts w:eastAsia="Century Schoolbook"/>
          <w:color w:val="000000"/>
        </w:rPr>
        <w:t xml:space="preserve"> percent</w:t>
      </w:r>
      <w:r w:rsidRPr="00036097">
        <w:rPr>
          <w:rFonts w:eastAsia="Century Schoolbook"/>
          <w:color w:val="000000"/>
        </w:rPr>
        <w:t>)</w:t>
      </w:r>
      <w:r>
        <w:rPr>
          <w:rFonts w:eastAsia="Century Schoolbook"/>
          <w:color w:val="000000"/>
        </w:rPr>
        <w:t xml:space="preserve"> = </w:t>
      </w:r>
      <w:r w:rsidRPr="00036097">
        <w:rPr>
          <w:rFonts w:eastAsia="Century Schoolbook"/>
          <w:color w:val="000000"/>
        </w:rPr>
        <w:t>0.9703</w:t>
      </w:r>
      <w:r>
        <w:rPr>
          <w:rFonts w:eastAsia="Century Schoolbook"/>
          <w:color w:val="000000"/>
        </w:rPr>
        <w:t xml:space="preserve"> percent</w:t>
      </w:r>
      <w:r w:rsidRPr="00036097">
        <w:rPr>
          <w:rFonts w:eastAsia="Century Schoolbook"/>
          <w:color w:val="000000"/>
        </w:rPr>
        <w:t>,</w:t>
      </w:r>
      <w:r w:rsidRPr="009F549F">
        <w:rPr>
          <w:rFonts w:eastAsia="Century Schoolbook"/>
          <w:color w:val="000000"/>
        </w:rPr>
        <w:t xml:space="preserve"> bringing the total notional equity interest owed to the government to 3.9404</w:t>
      </w:r>
      <w:r>
        <w:rPr>
          <w:rFonts w:eastAsia="Century Schoolbook"/>
          <w:color w:val="000000"/>
        </w:rPr>
        <w:t xml:space="preserve"> percent</w:t>
      </w:r>
      <w:r w:rsidRPr="009F549F">
        <w:rPr>
          <w:rFonts w:eastAsia="Century Schoolbook"/>
          <w:color w:val="000000"/>
        </w:rPr>
        <w:t xml:space="preserve"> at the end of year </w:t>
      </w:r>
      <w:r w:rsidRPr="00036097">
        <w:rPr>
          <w:rFonts w:eastAsia="Century Schoolbook"/>
          <w:color w:val="000000"/>
        </w:rPr>
        <w:t>four</w:t>
      </w:r>
      <w:r w:rsidRPr="009F549F">
        <w:rPr>
          <w:rFonts w:eastAsia="Century Schoolbook"/>
          <w:color w:val="000000"/>
        </w:rPr>
        <w:t>.</w:t>
      </w:r>
    </w:p>
  </w:footnote>
  <w:footnote w:id="201">
    <w:p w14:paraId="4B4EFBDD" w14:textId="77777777" w:rsidR="006E30B5" w:rsidRPr="00C43C1B" w:rsidRDefault="006E30B5" w:rsidP="00562EA3">
      <w:pPr>
        <w:pBdr>
          <w:top w:val="nil"/>
          <w:left w:val="nil"/>
          <w:bottom w:val="nil"/>
          <w:right w:val="nil"/>
          <w:between w:val="nil"/>
        </w:pBdr>
        <w:rPr>
          <w:rFonts w:eastAsia="Century Schoolbook"/>
          <w:color w:val="000000"/>
        </w:rPr>
      </w:pPr>
      <w:r w:rsidRPr="00C43C1B">
        <w:rPr>
          <w:vertAlign w:val="superscript"/>
        </w:rPr>
        <w:footnoteRef/>
      </w:r>
      <w:r w:rsidRPr="00C43C1B">
        <w:rPr>
          <w:rFonts w:eastAsia="Century Schoolbook"/>
          <w:color w:val="000000"/>
        </w:rPr>
        <w:t xml:space="preserve"> </w:t>
      </w:r>
      <w:r w:rsidRPr="00C43C1B">
        <w:rPr>
          <w:rFonts w:eastAsia="Century Schoolbook"/>
          <w:i/>
          <w:color w:val="000000"/>
        </w:rPr>
        <w:t>See</w:t>
      </w:r>
      <w:r w:rsidRPr="00C43C1B">
        <w:rPr>
          <w:rFonts w:eastAsia="Century Schoolbook"/>
          <w:color w:val="000000"/>
        </w:rPr>
        <w:t xml:space="preserve"> </w:t>
      </w:r>
      <w:r w:rsidRPr="00C43C1B">
        <w:rPr>
          <w:rFonts w:eastAsia="Century Schoolbook"/>
          <w:i/>
          <w:color w:val="000000"/>
        </w:rPr>
        <w:t>infra</w:t>
      </w:r>
      <w:r w:rsidRPr="00C43C1B">
        <w:rPr>
          <w:rFonts w:eastAsia="Century Schoolbook"/>
          <w:color w:val="000000"/>
        </w:rPr>
        <w:t xml:space="preserve"> Part </w:t>
      </w:r>
      <w:r w:rsidRPr="007772CB">
        <w:rPr>
          <w:rFonts w:eastAsia="Century Schoolbook"/>
          <w:color w:val="000000"/>
        </w:rPr>
        <w:fldChar w:fldCharType="begin"/>
      </w:r>
      <w:r w:rsidRPr="007772CB">
        <w:rPr>
          <w:rFonts w:eastAsia="Century Schoolbook"/>
          <w:color w:val="000000"/>
        </w:rPr>
        <w:instrText xml:space="preserve"> REF _Ref119423928 \h </w:instrText>
      </w:r>
      <w:r w:rsidRPr="00C43C1B">
        <w:rPr>
          <w:rFonts w:eastAsia="Century Schoolbook"/>
          <w:color w:val="000000"/>
        </w:rPr>
        <w:instrText xml:space="preserve"> \* MERGEFORMAT </w:instrText>
      </w:r>
      <w:r w:rsidRPr="007772CB">
        <w:rPr>
          <w:rFonts w:eastAsia="Century Schoolbook"/>
          <w:color w:val="000000"/>
        </w:rPr>
      </w:r>
      <w:r w:rsidRPr="007772CB">
        <w:rPr>
          <w:rFonts w:eastAsia="Century Schoolbook"/>
          <w:color w:val="000000"/>
        </w:rPr>
        <w:fldChar w:fldCharType="separate"/>
      </w:r>
      <w:r w:rsidRPr="00C43C1B">
        <w:t xml:space="preserve">E. </w:t>
      </w:r>
      <w:r w:rsidRPr="002B7D8E">
        <w:rPr>
          <w:i/>
        </w:rPr>
        <w:t>Comparing the ULTRA Solution to Alternatives</w:t>
      </w:r>
      <w:r w:rsidRPr="007772CB">
        <w:rPr>
          <w:rFonts w:eastAsia="Century Schoolbook"/>
          <w:color w:val="000000"/>
        </w:rPr>
        <w:fldChar w:fldCharType="end"/>
      </w:r>
      <w:r w:rsidRPr="007772CB">
        <w:rPr>
          <w:rFonts w:eastAsia="Century Schoolbook"/>
          <w:color w:val="000000"/>
        </w:rPr>
        <w:t>.</w:t>
      </w:r>
    </w:p>
  </w:footnote>
  <w:footnote w:id="202">
    <w:p w14:paraId="59E8A824" w14:textId="77777777" w:rsidR="006E30B5" w:rsidRPr="00C43C1B" w:rsidRDefault="006E30B5" w:rsidP="00562EA3">
      <w:pPr>
        <w:pBdr>
          <w:top w:val="nil"/>
          <w:left w:val="nil"/>
          <w:bottom w:val="nil"/>
          <w:right w:val="nil"/>
          <w:between w:val="nil"/>
        </w:pBdr>
        <w:rPr>
          <w:color w:val="000000"/>
        </w:rPr>
      </w:pPr>
      <w:r w:rsidRPr="00C43C1B">
        <w:rPr>
          <w:vertAlign w:val="superscript"/>
        </w:rPr>
        <w:footnoteRef/>
      </w:r>
      <w:r w:rsidRPr="00C43C1B">
        <w:rPr>
          <w:rFonts w:eastAsia="Century Schoolbook"/>
          <w:color w:val="000000"/>
        </w:rPr>
        <w:t xml:space="preserve"> There may also be arguments for allowing more complete deferral through ULTRAs—as opposed to requiring </w:t>
      </w:r>
      <w:r w:rsidRPr="00036097">
        <w:rPr>
          <w:rFonts w:eastAsia="Century Schoolbook"/>
          <w:color w:val="000000"/>
        </w:rPr>
        <w:t>prepayments</w:t>
      </w:r>
      <w:r w:rsidRPr="00C43C1B">
        <w:rPr>
          <w:rFonts w:eastAsia="Century Schoolbook"/>
          <w:color w:val="000000"/>
        </w:rPr>
        <w:t xml:space="preserve">—based on political psychology or constitutionality concerns, as we discuss further at notes </w:t>
      </w:r>
      <w:r>
        <w:rPr>
          <w:rFonts w:eastAsia="Century Schoolbook"/>
          <w:color w:val="000000"/>
        </w:rPr>
        <w:fldChar w:fldCharType="begin"/>
      </w:r>
      <w:r>
        <w:rPr>
          <w:rFonts w:eastAsia="Century Schoolbook"/>
          <w:color w:val="000000"/>
        </w:rPr>
        <w:instrText xml:space="preserve"> NOTEREF _Ref117014360 \h </w:instrText>
      </w:r>
      <w:r>
        <w:rPr>
          <w:rFonts w:eastAsia="Century Schoolbook"/>
          <w:color w:val="000000"/>
        </w:rPr>
      </w:r>
      <w:r>
        <w:rPr>
          <w:rFonts w:eastAsia="Century Schoolbook"/>
          <w:color w:val="000000"/>
        </w:rPr>
        <w:fldChar w:fldCharType="separate"/>
      </w:r>
      <w:r>
        <w:rPr>
          <w:rFonts w:eastAsia="Century Schoolbook"/>
          <w:color w:val="000000"/>
        </w:rPr>
        <w:t>240</w:t>
      </w:r>
      <w:r>
        <w:rPr>
          <w:rFonts w:eastAsia="Century Schoolbook"/>
          <w:color w:val="000000"/>
        </w:rPr>
        <w:fldChar w:fldCharType="end"/>
      </w:r>
      <w:r w:rsidRPr="001C43F3">
        <w:rPr>
          <w:rFonts w:eastAsia="Century Schoolbook"/>
          <w:color w:val="000000"/>
        </w:rPr>
        <w:t xml:space="preserve">, </w:t>
      </w:r>
      <w:r>
        <w:rPr>
          <w:rFonts w:eastAsia="Century Schoolbook"/>
          <w:color w:val="000000"/>
        </w:rPr>
        <w:fldChar w:fldCharType="begin"/>
      </w:r>
      <w:r>
        <w:rPr>
          <w:rFonts w:eastAsia="Century Schoolbook"/>
          <w:color w:val="000000"/>
        </w:rPr>
        <w:instrText xml:space="preserve"> NOTEREF _Ref117014376 \h </w:instrText>
      </w:r>
      <w:r>
        <w:rPr>
          <w:rFonts w:eastAsia="Century Schoolbook"/>
          <w:color w:val="000000"/>
        </w:rPr>
      </w:r>
      <w:r>
        <w:rPr>
          <w:rFonts w:eastAsia="Century Schoolbook"/>
          <w:color w:val="000000"/>
        </w:rPr>
        <w:fldChar w:fldCharType="separate"/>
      </w:r>
      <w:r>
        <w:rPr>
          <w:rFonts w:eastAsia="Century Schoolbook"/>
          <w:color w:val="000000"/>
        </w:rPr>
        <w:t>241</w:t>
      </w:r>
      <w:r>
        <w:rPr>
          <w:rFonts w:eastAsia="Century Schoolbook"/>
          <w:color w:val="000000"/>
        </w:rPr>
        <w:fldChar w:fldCharType="end"/>
      </w:r>
      <w:r w:rsidRPr="00C43C1B">
        <w:rPr>
          <w:rFonts w:eastAsia="Century Schoolbook"/>
          <w:color w:val="000000"/>
        </w:rPr>
        <w:t xml:space="preserve"> and accompanying text</w:t>
      </w:r>
      <w:r w:rsidRPr="00036097">
        <w:rPr>
          <w:rFonts w:eastAsia="Century Schoolbook"/>
          <w:color w:val="000000"/>
        </w:rPr>
        <w:t xml:space="preserve">. </w:t>
      </w:r>
    </w:p>
  </w:footnote>
  <w:footnote w:id="203">
    <w:p w14:paraId="45D091E1" w14:textId="16835F8C" w:rsidR="006E30B5" w:rsidRPr="009F549F" w:rsidRDefault="006E30B5">
      <w:pPr>
        <w:pBdr>
          <w:top w:val="nil"/>
          <w:left w:val="nil"/>
          <w:bottom w:val="nil"/>
          <w:right w:val="nil"/>
          <w:between w:val="nil"/>
        </w:pBdr>
        <w:rPr>
          <w:rFonts w:eastAsia="Century Schoolbook"/>
          <w:color w:val="000000"/>
        </w:rPr>
      </w:pPr>
      <w:r w:rsidRPr="009F549F">
        <w:rPr>
          <w:vertAlign w:val="superscript"/>
        </w:rPr>
        <w:footnoteRef/>
      </w:r>
      <w:r w:rsidRPr="009F549F">
        <w:rPr>
          <w:rFonts w:eastAsia="Century Schoolbook"/>
          <w:color w:val="000000"/>
        </w:rPr>
        <w:t xml:space="preserve"> Indeed, this might represent double taxation, if</w:t>
      </w:r>
      <w:r>
        <w:rPr>
          <w:rFonts w:eastAsia="Century Schoolbook"/>
          <w:color w:val="000000"/>
        </w:rPr>
        <w:t>, for example,</w:t>
      </w:r>
      <w:r w:rsidRPr="009F549F">
        <w:rPr>
          <w:rFonts w:eastAsia="Century Schoolbook"/>
          <w:color w:val="000000"/>
        </w:rPr>
        <w:t xml:space="preserve"> Shari held the $5 million in a cash account during years </w:t>
      </w:r>
      <w:r w:rsidRPr="00036097">
        <w:rPr>
          <w:rFonts w:eastAsia="Century Schoolbook"/>
          <w:color w:val="000000"/>
        </w:rPr>
        <w:t>one</w:t>
      </w:r>
      <w:r w:rsidRPr="009F549F">
        <w:rPr>
          <w:rFonts w:eastAsia="Century Schoolbook"/>
          <w:color w:val="000000"/>
        </w:rPr>
        <w:t xml:space="preserve"> and </w:t>
      </w:r>
      <w:r w:rsidRPr="00036097">
        <w:rPr>
          <w:rFonts w:eastAsia="Century Schoolbook"/>
          <w:color w:val="000000"/>
        </w:rPr>
        <w:t>two</w:t>
      </w:r>
      <w:r w:rsidRPr="009F549F">
        <w:rPr>
          <w:rFonts w:eastAsia="Century Schoolbook"/>
          <w:color w:val="000000"/>
        </w:rPr>
        <w:t xml:space="preserve"> and paid wealth tax on it.</w:t>
      </w:r>
      <w:r>
        <w:rPr>
          <w:rFonts w:eastAsia="Century Schoolbook"/>
          <w:color w:val="000000"/>
        </w:rPr>
        <w:t xml:space="preserve"> Putting this possibility aside, the amount of the overpayment would be $199,000. This is the difference between the $394,000 charged in the absence of a credit, and the correct tax amount for the two tax years the $10 million has been invested, which is (</w:t>
      </w:r>
      <w:r w:rsidRPr="00C43C1B">
        <w:rPr>
          <w:rFonts w:eastAsia="Century Schoolbook"/>
          <w:color w:val="000000"/>
        </w:rPr>
        <w:t>0.9801</w:t>
      </w:r>
      <w:r>
        <w:rPr>
          <w:rFonts w:eastAsia="Century Schoolbook"/>
          <w:color w:val="000000"/>
        </w:rPr>
        <w:t xml:space="preserve"> percent + 0.9703 percent) x $10 million, or about $195,000.  </w:t>
      </w:r>
    </w:p>
  </w:footnote>
  <w:footnote w:id="204">
    <w:p w14:paraId="6D7945B1" w14:textId="77777777" w:rsidR="006E30B5" w:rsidRPr="009F549F" w:rsidRDefault="006E30B5">
      <w:pPr>
        <w:pBdr>
          <w:top w:val="nil"/>
          <w:left w:val="nil"/>
          <w:bottom w:val="nil"/>
          <w:right w:val="nil"/>
          <w:between w:val="nil"/>
        </w:pBdr>
        <w:rPr>
          <w:rFonts w:eastAsia="Century Schoolbook"/>
          <w:color w:val="000000"/>
        </w:rPr>
      </w:pPr>
      <w:r w:rsidRPr="009F549F">
        <w:rPr>
          <w:vertAlign w:val="superscript"/>
        </w:rPr>
        <w:footnoteRef/>
      </w:r>
      <w:r w:rsidRPr="009F549F">
        <w:rPr>
          <w:rFonts w:eastAsia="Century Schoolbook"/>
          <w:color w:val="000000"/>
        </w:rPr>
        <w:t xml:space="preserve"> </w:t>
      </w:r>
      <w:r w:rsidRPr="009F549F">
        <w:rPr>
          <w:rFonts w:eastAsia="Century Schoolbook"/>
          <w:i/>
          <w:color w:val="000000"/>
        </w:rPr>
        <w:t>E.g.</w:t>
      </w:r>
      <w:r w:rsidRPr="009F549F">
        <w:rPr>
          <w:rFonts w:eastAsia="Century Schoolbook"/>
          <w:color w:val="000000"/>
        </w:rPr>
        <w:t>, I.R.C. §§ 358, 722.</w:t>
      </w:r>
    </w:p>
  </w:footnote>
  <w:footnote w:id="205">
    <w:p w14:paraId="7DEB7E73" w14:textId="11F6ABE3" w:rsidR="006E30B5" w:rsidRPr="009F549F" w:rsidRDefault="006E30B5">
      <w:pPr>
        <w:pStyle w:val="FootnoteText"/>
        <w:rPr>
          <w:rFonts w:ascii="Times New Roman" w:hAnsi="Times New Roman" w:cs="Times New Roman"/>
          <w:sz w:val="24"/>
          <w:szCs w:val="24"/>
          <w:lang w:val="en-US"/>
        </w:rPr>
      </w:pPr>
      <w:r w:rsidRPr="009F549F">
        <w:rPr>
          <w:rStyle w:val="FootnoteReference"/>
          <w:rFonts w:ascii="Times New Roman" w:hAnsi="Times New Roman" w:cs="Times New Roman"/>
          <w:sz w:val="24"/>
          <w:szCs w:val="24"/>
        </w:rPr>
        <w:footnoteRef/>
      </w:r>
      <w:r w:rsidRPr="009F549F">
        <w:rPr>
          <w:rFonts w:ascii="Times New Roman" w:hAnsi="Times New Roman" w:cs="Times New Roman"/>
          <w:sz w:val="24"/>
          <w:szCs w:val="24"/>
        </w:rPr>
        <w:t xml:space="preserve"> </w:t>
      </w:r>
      <w:r w:rsidRPr="009F549F">
        <w:rPr>
          <w:rFonts w:ascii="Times New Roman" w:hAnsi="Times New Roman" w:cs="Times New Roman"/>
          <w:i/>
          <w:sz w:val="24"/>
          <w:szCs w:val="24"/>
          <w:lang w:val="en-US"/>
        </w:rPr>
        <w:t>See supra</w:t>
      </w:r>
      <w:r w:rsidRPr="009F549F">
        <w:rPr>
          <w:rFonts w:ascii="Times New Roman" w:hAnsi="Times New Roman" w:cs="Times New Roman"/>
          <w:sz w:val="24"/>
          <w:szCs w:val="24"/>
          <w:lang w:val="en-US"/>
        </w:rPr>
        <w:t xml:space="preserve"> note </w:t>
      </w:r>
      <w:r w:rsidRPr="009F549F">
        <w:rPr>
          <w:rFonts w:ascii="Times New Roman" w:hAnsi="Times New Roman" w:cs="Times New Roman"/>
          <w:sz w:val="24"/>
          <w:szCs w:val="24"/>
          <w:lang w:val="en-US"/>
        </w:rPr>
        <w:fldChar w:fldCharType="begin"/>
      </w:r>
      <w:r w:rsidRPr="009F549F">
        <w:rPr>
          <w:rFonts w:ascii="Times New Roman" w:hAnsi="Times New Roman" w:cs="Times New Roman"/>
          <w:sz w:val="24"/>
          <w:szCs w:val="24"/>
          <w:lang w:val="en-US"/>
        </w:rPr>
        <w:instrText xml:space="preserve"> NOTEREF _Ref120287240 \h  \* MERGEFORMAT </w:instrText>
      </w:r>
      <w:r w:rsidRPr="009F549F">
        <w:rPr>
          <w:rFonts w:ascii="Times New Roman" w:hAnsi="Times New Roman" w:cs="Times New Roman"/>
          <w:sz w:val="24"/>
          <w:szCs w:val="24"/>
          <w:lang w:val="en-US"/>
        </w:rPr>
      </w:r>
      <w:r w:rsidRPr="009F549F">
        <w:rPr>
          <w:rFonts w:ascii="Times New Roman" w:hAnsi="Times New Roman" w:cs="Times New Roman"/>
          <w:sz w:val="24"/>
          <w:szCs w:val="24"/>
          <w:lang w:val="en-US"/>
        </w:rPr>
        <w:fldChar w:fldCharType="separate"/>
      </w:r>
      <w:r w:rsidRPr="009F549F">
        <w:rPr>
          <w:rFonts w:ascii="Times New Roman" w:hAnsi="Times New Roman" w:cs="Times New Roman"/>
          <w:sz w:val="24"/>
          <w:szCs w:val="24"/>
          <w:lang w:val="en-US"/>
        </w:rPr>
        <w:t>206</w:t>
      </w:r>
      <w:r w:rsidRPr="009F549F">
        <w:rPr>
          <w:rFonts w:ascii="Times New Roman" w:hAnsi="Times New Roman" w:cs="Times New Roman"/>
          <w:sz w:val="24"/>
          <w:szCs w:val="24"/>
          <w:lang w:val="en-US"/>
        </w:rPr>
        <w:fldChar w:fldCharType="end"/>
      </w:r>
      <w:r w:rsidRPr="009F549F">
        <w:rPr>
          <w:rFonts w:ascii="Times New Roman" w:hAnsi="Times New Roman" w:cs="Times New Roman"/>
          <w:sz w:val="24"/>
          <w:szCs w:val="24"/>
          <w:lang w:val="en-US"/>
        </w:rPr>
        <w:t>.</w:t>
      </w:r>
    </w:p>
  </w:footnote>
  <w:footnote w:id="206">
    <w:p w14:paraId="7B5758B4" w14:textId="50105671" w:rsidR="006E30B5" w:rsidRPr="009F549F" w:rsidRDefault="006E30B5">
      <w:pPr>
        <w:pStyle w:val="FootnoteText"/>
        <w:rPr>
          <w:rFonts w:ascii="Times New Roman" w:hAnsi="Times New Roman" w:cs="Times New Roman"/>
          <w:sz w:val="24"/>
          <w:szCs w:val="24"/>
          <w:lang w:val="en-US"/>
        </w:rPr>
      </w:pPr>
      <w:r w:rsidRPr="009F549F">
        <w:rPr>
          <w:rStyle w:val="FootnoteReference"/>
          <w:rFonts w:ascii="Times New Roman" w:hAnsi="Times New Roman" w:cs="Times New Roman"/>
          <w:sz w:val="24"/>
          <w:szCs w:val="24"/>
        </w:rPr>
        <w:footnoteRef/>
      </w:r>
      <w:r w:rsidRPr="009F549F">
        <w:rPr>
          <w:rFonts w:ascii="Times New Roman" w:hAnsi="Times New Roman" w:cs="Times New Roman"/>
          <w:sz w:val="24"/>
          <w:szCs w:val="24"/>
        </w:rPr>
        <w:t xml:space="preserve"> </w:t>
      </w:r>
      <w:r w:rsidRPr="009F549F">
        <w:rPr>
          <w:rFonts w:ascii="Times New Roman" w:hAnsi="Times New Roman" w:cs="Times New Roman"/>
          <w:sz w:val="24"/>
          <w:szCs w:val="24"/>
          <w:lang w:val="en-US"/>
        </w:rPr>
        <w:t xml:space="preserve">That is, if Shari receives $20 million in cash in year two, she will have a tax bill of 1.99 percent x $20 million, or $398,000. If she instead receives stock in a subsidiary of her company, she would either: (1) accept the government's appraisal of that stock, and pay tax on that amount as if it were cash; or (2) treat the stock as though it were still subject to the ULTRA, even though it is no longer owned by the company </w:t>
      </w:r>
      <w:r>
        <w:rPr>
          <w:rFonts w:ascii="Times New Roman" w:hAnsi="Times New Roman" w:cs="Times New Roman"/>
          <w:sz w:val="24"/>
          <w:szCs w:val="24"/>
          <w:lang w:val="en-US"/>
        </w:rPr>
        <w:t>to which the ULTRA was originally attached</w:t>
      </w:r>
      <w:r w:rsidRPr="009F549F">
        <w:rPr>
          <w:rFonts w:ascii="Times New Roman" w:hAnsi="Times New Roman" w:cs="Times New Roman"/>
          <w:sz w:val="24"/>
          <w:szCs w:val="24"/>
          <w:lang w:val="en-US"/>
        </w:rPr>
        <w:t>.</w:t>
      </w:r>
      <w:r>
        <w:rPr>
          <w:rFonts w:ascii="Times New Roman" w:hAnsi="Times New Roman" w:cs="Times New Roman"/>
          <w:sz w:val="24"/>
          <w:szCs w:val="24"/>
          <w:lang w:val="en-US"/>
        </w:rPr>
        <w:t xml:space="preserve"> If she opts for the second path, government will take an immediate 1.99% interest in the distributed stock, the same as its share in the company that distributed it. </w:t>
      </w:r>
    </w:p>
  </w:footnote>
  <w:footnote w:id="207">
    <w:p w14:paraId="60739926" w14:textId="48F548B6" w:rsidR="006E30B5" w:rsidRPr="009F549F" w:rsidRDefault="006E30B5">
      <w:pPr>
        <w:pBdr>
          <w:top w:val="nil"/>
          <w:left w:val="nil"/>
          <w:bottom w:val="nil"/>
          <w:right w:val="nil"/>
          <w:between w:val="nil"/>
        </w:pBdr>
        <w:rPr>
          <w:rFonts w:eastAsia="Century Schoolbook"/>
          <w:color w:val="000000"/>
        </w:rPr>
      </w:pPr>
      <w:r w:rsidRPr="009F549F">
        <w:rPr>
          <w:vertAlign w:val="superscript"/>
        </w:rPr>
        <w:footnoteRef/>
      </w:r>
      <w:r w:rsidRPr="009F549F">
        <w:rPr>
          <w:rFonts w:eastAsia="Century Schoolbook"/>
          <w:color w:val="000000"/>
        </w:rPr>
        <w:t xml:space="preserve"> Boulware v. United States, 552 U.S. 421, 429–30 (2008); Anthony </w:t>
      </w:r>
      <w:proofErr w:type="spellStart"/>
      <w:r w:rsidRPr="009F549F">
        <w:rPr>
          <w:rFonts w:eastAsia="Century Schoolbook"/>
          <w:color w:val="000000"/>
        </w:rPr>
        <w:t>Polito</w:t>
      </w:r>
      <w:proofErr w:type="spellEnd"/>
      <w:r w:rsidRPr="009F549F">
        <w:rPr>
          <w:rFonts w:eastAsia="Century Schoolbook"/>
          <w:color w:val="000000"/>
        </w:rPr>
        <w:t xml:space="preserve">, </w:t>
      </w:r>
      <w:r w:rsidRPr="009F549F">
        <w:rPr>
          <w:rFonts w:eastAsia="Century Schoolbook"/>
          <w:i/>
          <w:color w:val="000000"/>
        </w:rPr>
        <w:t>Constructive Dividend Doctrine from an Integrationist Perspective</w:t>
      </w:r>
      <w:r w:rsidRPr="009F549F">
        <w:rPr>
          <w:rFonts w:eastAsia="Century Schoolbook"/>
          <w:color w:val="000000"/>
        </w:rPr>
        <w:t xml:space="preserve">, 27 </w:t>
      </w:r>
      <w:r w:rsidRPr="009F549F">
        <w:rPr>
          <w:rFonts w:eastAsia="Century Schoolbook"/>
          <w:smallCaps/>
          <w:color w:val="000000"/>
        </w:rPr>
        <w:t>Akron Tax</w:t>
      </w:r>
      <w:r w:rsidRPr="009F549F">
        <w:rPr>
          <w:rFonts w:eastAsia="Century Schoolbook"/>
          <w:color w:val="000000"/>
        </w:rPr>
        <w:t xml:space="preserve"> J. </w:t>
      </w:r>
      <w:r w:rsidRPr="009F549F">
        <w:rPr>
          <w:rFonts w:eastAsia="Century Schoolbook"/>
          <w:color w:val="000000"/>
        </w:rPr>
        <w:t>1, 3 (</w:t>
      </w:r>
      <w:r w:rsidRPr="007D6E99">
        <w:rPr>
          <w:rFonts w:ascii="Century Schoolbook" w:eastAsia="Century Schoolbook" w:hAnsi="Century Schoolbook" w:cs="Century Schoolbook"/>
          <w:color w:val="000000"/>
          <w:sz w:val="20"/>
          <w:szCs w:val="20"/>
        </w:rPr>
        <w:t>2011-</w:t>
      </w:r>
      <w:r w:rsidRPr="009F549F">
        <w:rPr>
          <w:rFonts w:eastAsia="Century Schoolbook"/>
          <w:color w:val="000000"/>
        </w:rPr>
        <w:t xml:space="preserve">2012) </w:t>
      </w:r>
      <w:r w:rsidRPr="00036097">
        <w:rPr>
          <w:rFonts w:eastAsia="Century Schoolbook"/>
          <w:color w:val="000000"/>
        </w:rPr>
        <w:t>(“[T]he</w:t>
      </w:r>
      <w:r w:rsidRPr="009F549F">
        <w:rPr>
          <w:rFonts w:eastAsia="Century Schoolbook"/>
          <w:color w:val="000000"/>
        </w:rPr>
        <w:t xml:space="preserve"> [Constructive Dividend Doctrine] plays a vital role of policing for transactions that seek to evade full double taxation.”).</w:t>
      </w:r>
    </w:p>
  </w:footnote>
  <w:footnote w:id="208">
    <w:p w14:paraId="4DC73EC4" w14:textId="0866218C" w:rsidR="006E30B5" w:rsidRPr="009F549F" w:rsidRDefault="006E30B5">
      <w:pPr>
        <w:pBdr>
          <w:top w:val="nil"/>
          <w:left w:val="nil"/>
          <w:bottom w:val="nil"/>
          <w:right w:val="nil"/>
          <w:between w:val="nil"/>
        </w:pBdr>
        <w:rPr>
          <w:rFonts w:eastAsia="Century Schoolbook"/>
          <w:color w:val="000000"/>
        </w:rPr>
      </w:pPr>
      <w:r w:rsidRPr="009F549F">
        <w:rPr>
          <w:vertAlign w:val="superscript"/>
        </w:rPr>
        <w:footnoteRef/>
      </w:r>
      <w:r w:rsidRPr="009F549F">
        <w:rPr>
          <w:rFonts w:eastAsia="Century Schoolbook"/>
          <w:color w:val="000000"/>
        </w:rPr>
        <w:t xml:space="preserve"> </w:t>
      </w:r>
      <w:r w:rsidRPr="009F549F">
        <w:rPr>
          <w:rFonts w:eastAsia="Century Schoolbook"/>
          <w:i/>
          <w:color w:val="000000"/>
        </w:rPr>
        <w:t>E.g.</w:t>
      </w:r>
      <w:r w:rsidRPr="009F549F">
        <w:rPr>
          <w:rFonts w:eastAsia="Century Schoolbook"/>
          <w:color w:val="000000"/>
        </w:rPr>
        <w:t>,</w:t>
      </w:r>
      <w:r w:rsidRPr="009F549F">
        <w:rPr>
          <w:rFonts w:eastAsia="Century Schoolbook"/>
          <w:i/>
          <w:color w:val="000000"/>
        </w:rPr>
        <w:t xml:space="preserve"> </w:t>
      </w:r>
      <w:r w:rsidRPr="009F549F">
        <w:rPr>
          <w:rFonts w:eastAsia="Century Schoolbook"/>
          <w:color w:val="000000"/>
        </w:rPr>
        <w:t xml:space="preserve">Linda Campbell, Pamela C. </w:t>
      </w:r>
      <w:r w:rsidRPr="009F549F">
        <w:rPr>
          <w:rFonts w:eastAsia="Century Schoolbook"/>
          <w:color w:val="000000"/>
        </w:rPr>
        <w:t>Smith</w:t>
      </w:r>
      <w:r w:rsidRPr="007D6E99">
        <w:rPr>
          <w:rFonts w:ascii="Century Schoolbook" w:eastAsia="Century Schoolbook" w:hAnsi="Century Schoolbook" w:cs="Century Schoolbook"/>
          <w:color w:val="000000"/>
          <w:sz w:val="20"/>
          <w:szCs w:val="20"/>
        </w:rPr>
        <w:t>,</w:t>
      </w:r>
      <w:r w:rsidRPr="009F549F">
        <w:rPr>
          <w:rFonts w:eastAsia="Century Schoolbook"/>
          <w:color w:val="000000"/>
        </w:rPr>
        <w:t xml:space="preserve"> &amp; Kasey Martin, </w:t>
      </w:r>
      <w:r w:rsidRPr="009F549F">
        <w:rPr>
          <w:rFonts w:eastAsia="Century Schoolbook"/>
          <w:i/>
          <w:color w:val="000000"/>
        </w:rPr>
        <w:t xml:space="preserve">Defining ‘Reasonable Compensation’ </w:t>
      </w:r>
      <w:r w:rsidRPr="00036097">
        <w:rPr>
          <w:rFonts w:eastAsia="Century Schoolbook"/>
          <w:i/>
          <w:color w:val="000000"/>
        </w:rPr>
        <w:t>Under</w:t>
      </w:r>
      <w:r w:rsidRPr="009F549F">
        <w:rPr>
          <w:rFonts w:eastAsia="Century Schoolbook"/>
          <w:i/>
          <w:color w:val="000000"/>
        </w:rPr>
        <w:t xml:space="preserve"> the Tax Code</w:t>
      </w:r>
      <w:r w:rsidRPr="009F549F">
        <w:rPr>
          <w:rFonts w:eastAsia="Century Schoolbook"/>
          <w:color w:val="000000"/>
        </w:rPr>
        <w:t xml:space="preserve">, </w:t>
      </w:r>
      <w:r w:rsidRPr="00AD2AE1">
        <w:rPr>
          <w:rFonts w:eastAsia="Century Schoolbook"/>
          <w:smallCaps/>
          <w:color w:val="000000"/>
        </w:rPr>
        <w:t xml:space="preserve">The </w:t>
      </w:r>
      <w:r w:rsidRPr="009F549F">
        <w:rPr>
          <w:rFonts w:eastAsia="Century Schoolbook"/>
          <w:smallCaps/>
          <w:color w:val="000000"/>
        </w:rPr>
        <w:t>CPA J.</w:t>
      </w:r>
      <w:r w:rsidRPr="009F549F">
        <w:rPr>
          <w:rFonts w:eastAsia="Century Schoolbook"/>
          <w:color w:val="000000"/>
        </w:rPr>
        <w:t xml:space="preserve"> (</w:t>
      </w:r>
      <w:r w:rsidRPr="00036097">
        <w:rPr>
          <w:rFonts w:eastAsia="Century Schoolbook"/>
          <w:color w:val="000000"/>
        </w:rPr>
        <w:t>Oct.</w:t>
      </w:r>
      <w:r w:rsidRPr="009F549F">
        <w:rPr>
          <w:rFonts w:eastAsia="Century Schoolbook"/>
          <w:color w:val="000000"/>
        </w:rPr>
        <w:t xml:space="preserve"> 2019</w:t>
      </w:r>
      <w:r w:rsidRPr="00036097">
        <w:rPr>
          <w:rFonts w:eastAsia="Century Schoolbook"/>
          <w:color w:val="000000"/>
        </w:rPr>
        <w:t xml:space="preserve">), </w:t>
      </w:r>
      <w:r w:rsidRPr="00AD2AE1">
        <w:rPr>
          <w:rFonts w:eastAsia="Century Schoolbook"/>
          <w:color w:val="000000"/>
        </w:rPr>
        <w:t>https</w:t>
      </w:r>
      <w:r w:rsidRPr="00B80391">
        <w:rPr>
          <w:rFonts w:eastAsia="Century Schoolbook"/>
          <w:color w:val="000000"/>
        </w:rPr>
        <w:t>://www.cpajournal.com/2019/10/28/defining-reasonable-compensation-under-the-tax-code</w:t>
      </w:r>
      <w:r w:rsidRPr="00036097">
        <w:rPr>
          <w:rFonts w:eastAsia="Century Schoolbook"/>
          <w:color w:val="000000"/>
        </w:rPr>
        <w:t xml:space="preserve"> [https://perma.cc/98DW-BU7L].</w:t>
      </w:r>
      <w:r>
        <w:rPr>
          <w:rFonts w:eastAsia="Century Schoolbook"/>
          <w:color w:val="000000"/>
        </w:rPr>
        <w:t xml:space="preserve"> Compensatory transfers don't have to be treated as deemed distributions because they will already be taxed to the owner/service-provider as ordinary income. I.R.C. § 61(a)(1).  </w:t>
      </w:r>
    </w:p>
  </w:footnote>
  <w:footnote w:id="209">
    <w:p w14:paraId="6FBFB79F" w14:textId="2ED2E9D6" w:rsidR="006E30B5" w:rsidRPr="009F549F" w:rsidRDefault="006E30B5">
      <w:pPr>
        <w:pBdr>
          <w:top w:val="nil"/>
          <w:left w:val="nil"/>
          <w:bottom w:val="nil"/>
          <w:right w:val="nil"/>
          <w:between w:val="nil"/>
        </w:pBdr>
        <w:rPr>
          <w:rFonts w:eastAsia="Century Schoolbook"/>
          <w:color w:val="000000"/>
        </w:rPr>
      </w:pPr>
      <w:r w:rsidRPr="009F549F">
        <w:rPr>
          <w:vertAlign w:val="superscript"/>
        </w:rPr>
        <w:footnoteRef/>
      </w:r>
      <w:r w:rsidRPr="009F549F">
        <w:rPr>
          <w:rFonts w:eastAsia="Century Schoolbook"/>
          <w:color w:val="000000"/>
        </w:rPr>
        <w:t xml:space="preserve"> </w:t>
      </w:r>
      <w:r w:rsidRPr="009F549F">
        <w:rPr>
          <w:rFonts w:eastAsia="Century Schoolbook"/>
          <w:i/>
          <w:color w:val="000000"/>
        </w:rPr>
        <w:t xml:space="preserve">See </w:t>
      </w:r>
      <w:r w:rsidRPr="009F549F">
        <w:rPr>
          <w:rFonts w:eastAsia="Century Schoolbook"/>
          <w:smallCaps/>
          <w:color w:val="000000"/>
        </w:rPr>
        <w:t xml:space="preserve">Edward D. </w:t>
      </w:r>
      <w:proofErr w:type="spellStart"/>
      <w:r w:rsidRPr="009F549F">
        <w:rPr>
          <w:rFonts w:eastAsia="Century Schoolbook"/>
          <w:smallCaps/>
          <w:color w:val="000000"/>
        </w:rPr>
        <w:t>Kleinbard</w:t>
      </w:r>
      <w:proofErr w:type="spellEnd"/>
      <w:r w:rsidRPr="009F549F">
        <w:rPr>
          <w:rFonts w:eastAsia="Century Schoolbook"/>
          <w:smallCaps/>
          <w:color w:val="000000"/>
        </w:rPr>
        <w:t xml:space="preserve">, </w:t>
      </w:r>
      <w:r w:rsidRPr="003E37F0">
        <w:rPr>
          <w:rFonts w:eastAsia="Century Schoolbook"/>
          <w:smallCaps/>
          <w:color w:val="000000"/>
        </w:rPr>
        <w:t xml:space="preserve">Ctr. in L., Econ., &amp; Org. </w:t>
      </w:r>
      <w:proofErr w:type="spellStart"/>
      <w:r w:rsidRPr="003E37F0">
        <w:rPr>
          <w:rFonts w:eastAsia="Century Schoolbook"/>
          <w:smallCaps/>
          <w:color w:val="000000"/>
        </w:rPr>
        <w:t>Rsch</w:t>
      </w:r>
      <w:proofErr w:type="spellEnd"/>
      <w:r w:rsidRPr="003E37F0">
        <w:rPr>
          <w:rFonts w:eastAsia="Century Schoolbook"/>
          <w:smallCaps/>
          <w:color w:val="000000"/>
        </w:rPr>
        <w:t>. Papers Series</w:t>
      </w:r>
      <w:r>
        <w:rPr>
          <w:rFonts w:eastAsia="Century Schoolbook"/>
          <w:smallCaps/>
          <w:color w:val="000000"/>
        </w:rPr>
        <w:t xml:space="preserve">, No. </w:t>
      </w:r>
      <w:r>
        <w:rPr>
          <w:rFonts w:eastAsia="Century Schoolbook"/>
          <w:smallCaps/>
          <w:color w:val="000000"/>
        </w:rPr>
        <w:t xml:space="preserve">13-5, </w:t>
      </w:r>
      <w:r w:rsidRPr="009F549F">
        <w:rPr>
          <w:rFonts w:eastAsia="Century Schoolbook"/>
          <w:smallCaps/>
          <w:color w:val="000000"/>
        </w:rPr>
        <w:t>Corporate Capital and Labor Stuffing in the New Tax Rate Environment</w:t>
      </w:r>
      <w:r w:rsidRPr="00B80391">
        <w:rPr>
          <w:rFonts w:eastAsia="Century Schoolbook"/>
          <w:smallCaps/>
          <w:color w:val="000000"/>
        </w:rPr>
        <w:t xml:space="preserve"> </w:t>
      </w:r>
      <w:r w:rsidRPr="00B80391">
        <w:rPr>
          <w:rFonts w:eastAsia="Century Schoolbook"/>
          <w:color w:val="000000"/>
        </w:rPr>
        <w:t>(</w:t>
      </w:r>
      <w:r w:rsidRPr="009F549F">
        <w:rPr>
          <w:rFonts w:eastAsia="Century Schoolbook"/>
          <w:color w:val="000000"/>
        </w:rPr>
        <w:t>2013) (discussing such gaming).</w:t>
      </w:r>
      <w:r w:rsidRPr="00036097">
        <w:rPr>
          <w:rFonts w:eastAsia="Century Schoolbook"/>
          <w:color w:val="000000"/>
        </w:rPr>
        <w:t xml:space="preserve"> </w:t>
      </w:r>
    </w:p>
  </w:footnote>
  <w:footnote w:id="210">
    <w:p w14:paraId="28F44779" w14:textId="46FA0357" w:rsidR="006E30B5" w:rsidRPr="009F549F" w:rsidRDefault="006E30B5">
      <w:pPr>
        <w:pBdr>
          <w:top w:val="nil"/>
          <w:left w:val="nil"/>
          <w:bottom w:val="nil"/>
          <w:right w:val="nil"/>
          <w:between w:val="nil"/>
        </w:pBdr>
        <w:rPr>
          <w:rFonts w:eastAsia="Century Schoolbook"/>
          <w:color w:val="000000"/>
        </w:rPr>
      </w:pPr>
      <w:r w:rsidRPr="009F549F">
        <w:rPr>
          <w:vertAlign w:val="superscript"/>
        </w:rPr>
        <w:footnoteRef/>
      </w:r>
      <w:r w:rsidRPr="00036097">
        <w:rPr>
          <w:rFonts w:eastAsia="Century Schoolbook"/>
          <w:color w:val="000000"/>
        </w:rPr>
        <w:t xml:space="preserve"> Fleischer, </w:t>
      </w:r>
      <w:r w:rsidRPr="00036097">
        <w:rPr>
          <w:rFonts w:eastAsia="Century Schoolbook"/>
          <w:i/>
          <w:iCs/>
          <w:color w:val="000000"/>
        </w:rPr>
        <w:t>supra</w:t>
      </w:r>
      <w:r w:rsidRPr="00036097">
        <w:rPr>
          <w:rFonts w:eastAsia="Century Schoolbook"/>
          <w:color w:val="000000"/>
        </w:rPr>
        <w:t xml:space="preserve"> note </w:t>
      </w:r>
      <w:r w:rsidRPr="00036097">
        <w:rPr>
          <w:rFonts w:eastAsia="Century Schoolbook"/>
          <w:color w:val="000000"/>
        </w:rPr>
        <w:fldChar w:fldCharType="begin"/>
      </w:r>
      <w:r w:rsidRPr="00036097">
        <w:rPr>
          <w:rFonts w:eastAsia="Century Schoolbook"/>
          <w:color w:val="000000"/>
        </w:rPr>
        <w:instrText xml:space="preserve"> NOTEREF _Ref115852189 \h  \* MERGEFORMAT </w:instrText>
      </w:r>
      <w:r w:rsidRPr="00036097">
        <w:rPr>
          <w:rFonts w:eastAsia="Century Schoolbook"/>
          <w:color w:val="000000"/>
        </w:rPr>
      </w:r>
      <w:r w:rsidRPr="00036097">
        <w:rPr>
          <w:rFonts w:eastAsia="Century Schoolbook"/>
          <w:color w:val="000000"/>
        </w:rPr>
        <w:fldChar w:fldCharType="separate"/>
      </w:r>
      <w:r>
        <w:rPr>
          <w:rFonts w:eastAsia="Century Schoolbook"/>
          <w:color w:val="000000"/>
        </w:rPr>
        <w:t>33</w:t>
      </w:r>
      <w:r w:rsidRPr="00036097">
        <w:rPr>
          <w:rFonts w:eastAsia="Century Schoolbook"/>
          <w:color w:val="000000"/>
        </w:rPr>
        <w:fldChar w:fldCharType="end"/>
      </w:r>
      <w:r w:rsidRPr="00036097">
        <w:rPr>
          <w:rFonts w:eastAsia="Century Schoolbook"/>
          <w:color w:val="000000"/>
        </w:rPr>
        <w:t>, at 44.</w:t>
      </w:r>
    </w:p>
  </w:footnote>
  <w:footnote w:id="211">
    <w:p w14:paraId="3E66B869" w14:textId="77777777" w:rsidR="006E30B5" w:rsidRPr="009F549F" w:rsidRDefault="006E30B5">
      <w:pPr>
        <w:pBdr>
          <w:top w:val="nil"/>
          <w:left w:val="nil"/>
          <w:bottom w:val="nil"/>
          <w:right w:val="nil"/>
          <w:between w:val="nil"/>
        </w:pBdr>
        <w:rPr>
          <w:rFonts w:eastAsia="Century Schoolbook"/>
          <w:i/>
          <w:color w:val="000000"/>
        </w:rPr>
      </w:pPr>
      <w:r w:rsidRPr="009F549F">
        <w:rPr>
          <w:vertAlign w:val="superscript"/>
        </w:rPr>
        <w:footnoteRef/>
      </w:r>
      <w:r w:rsidRPr="009F549F">
        <w:rPr>
          <w:rFonts w:eastAsia="Century Schoolbook"/>
          <w:color w:val="000000"/>
        </w:rPr>
        <w:t xml:space="preserve"> </w:t>
      </w:r>
      <w:r w:rsidRPr="009F549F">
        <w:rPr>
          <w:rFonts w:eastAsia="Century Schoolbook"/>
          <w:i/>
          <w:color w:val="000000"/>
        </w:rPr>
        <w:t>Id.</w:t>
      </w:r>
    </w:p>
  </w:footnote>
  <w:footnote w:id="212">
    <w:p w14:paraId="05BD6A9E" w14:textId="4C4A542B" w:rsidR="006E30B5" w:rsidRPr="009F549F" w:rsidRDefault="006E30B5">
      <w:pPr>
        <w:pBdr>
          <w:top w:val="nil"/>
          <w:left w:val="nil"/>
          <w:bottom w:val="nil"/>
          <w:right w:val="nil"/>
          <w:between w:val="nil"/>
        </w:pBdr>
        <w:rPr>
          <w:rFonts w:eastAsia="Century Schoolbook"/>
          <w:color w:val="000000"/>
        </w:rPr>
      </w:pPr>
      <w:r w:rsidRPr="009F549F">
        <w:rPr>
          <w:vertAlign w:val="superscript"/>
        </w:rPr>
        <w:footnoteRef/>
      </w:r>
      <w:r w:rsidRPr="00036097">
        <w:rPr>
          <w:rFonts w:eastAsia="Century Schoolbook"/>
          <w:color w:val="000000"/>
        </w:rPr>
        <w:t xml:space="preserve"> </w:t>
      </w:r>
      <w:proofErr w:type="spellStart"/>
      <w:r w:rsidRPr="00036097">
        <w:rPr>
          <w:rFonts w:eastAsia="Century Schoolbook"/>
          <w:color w:val="000000"/>
        </w:rPr>
        <w:t>Kamin</w:t>
      </w:r>
      <w:proofErr w:type="spellEnd"/>
      <w:r>
        <w:rPr>
          <w:rFonts w:eastAsia="Century Schoolbook"/>
          <w:color w:val="000000"/>
        </w:rPr>
        <w:t xml:space="preserve"> et al.</w:t>
      </w:r>
      <w:r w:rsidRPr="00036097">
        <w:rPr>
          <w:rFonts w:eastAsia="Century Schoolbook"/>
          <w:color w:val="000000"/>
        </w:rPr>
        <w:t xml:space="preserve">, </w:t>
      </w:r>
      <w:r w:rsidRPr="002A2EAD">
        <w:rPr>
          <w:rFonts w:eastAsia="Century Schoolbook"/>
          <w:i/>
          <w:color w:val="000000"/>
        </w:rPr>
        <w:t>supra</w:t>
      </w:r>
      <w:r w:rsidRPr="00036097">
        <w:rPr>
          <w:rFonts w:eastAsia="Century Schoolbook"/>
          <w:color w:val="000000"/>
        </w:rPr>
        <w:t xml:space="preserve"> note </w:t>
      </w:r>
      <w:r w:rsidRPr="00036097">
        <w:rPr>
          <w:rFonts w:eastAsia="Century Schoolbook"/>
          <w:color w:val="000000"/>
        </w:rPr>
        <w:fldChar w:fldCharType="begin"/>
      </w:r>
      <w:r w:rsidRPr="00036097">
        <w:rPr>
          <w:rFonts w:eastAsia="Century Schoolbook"/>
          <w:color w:val="000000"/>
        </w:rPr>
        <w:instrText xml:space="preserve"> NOTEREF _Ref115971803 \h  \* MERGEFORMAT </w:instrText>
      </w:r>
      <w:r w:rsidRPr="00036097">
        <w:rPr>
          <w:rFonts w:eastAsia="Century Schoolbook"/>
          <w:color w:val="000000"/>
        </w:rPr>
      </w:r>
      <w:r w:rsidRPr="00036097">
        <w:rPr>
          <w:rFonts w:eastAsia="Century Schoolbook"/>
          <w:color w:val="000000"/>
        </w:rPr>
        <w:fldChar w:fldCharType="separate"/>
      </w:r>
      <w:r>
        <w:rPr>
          <w:rFonts w:eastAsia="Century Schoolbook"/>
          <w:color w:val="000000"/>
        </w:rPr>
        <w:t>187</w:t>
      </w:r>
      <w:r w:rsidRPr="00036097">
        <w:rPr>
          <w:rFonts w:eastAsia="Century Schoolbook"/>
          <w:color w:val="000000"/>
        </w:rPr>
        <w:fldChar w:fldCharType="end"/>
      </w:r>
      <w:r w:rsidRPr="00036097">
        <w:rPr>
          <w:rFonts w:eastAsia="Century Schoolbook"/>
          <w:color w:val="000000"/>
        </w:rPr>
        <w:t xml:space="preserve"> (explaining that if a taxpayer can </w:t>
      </w:r>
      <w:r>
        <w:rPr>
          <w:rFonts w:eastAsia="Century Schoolbook"/>
          <w:color w:val="000000"/>
        </w:rPr>
        <w:t>use borrowing to escape</w:t>
      </w:r>
      <w:r w:rsidRPr="00036097">
        <w:rPr>
          <w:rFonts w:eastAsia="Century Schoolbook"/>
          <w:color w:val="000000"/>
        </w:rPr>
        <w:t xml:space="preserve"> the layer of individual tax, it will </w:t>
      </w:r>
      <w:r>
        <w:rPr>
          <w:rFonts w:eastAsia="Century Schoolbook"/>
          <w:color w:val="000000"/>
        </w:rPr>
        <w:t>cut the</w:t>
      </w:r>
      <w:r w:rsidRPr="00036097">
        <w:rPr>
          <w:rFonts w:eastAsia="Century Schoolbook"/>
          <w:color w:val="000000"/>
        </w:rPr>
        <w:t xml:space="preserve"> </w:t>
      </w:r>
      <w:r>
        <w:rPr>
          <w:rFonts w:eastAsia="Century Schoolbook"/>
          <w:color w:val="000000"/>
        </w:rPr>
        <w:t>overall “</w:t>
      </w:r>
      <w:r w:rsidRPr="00036097">
        <w:rPr>
          <w:rFonts w:eastAsia="Century Schoolbook"/>
          <w:color w:val="000000"/>
        </w:rPr>
        <w:t xml:space="preserve">tax bill almost in half”).  </w:t>
      </w:r>
    </w:p>
  </w:footnote>
  <w:footnote w:id="213">
    <w:p w14:paraId="4EAFD40A" w14:textId="3086383D" w:rsidR="006E30B5" w:rsidRPr="009F549F" w:rsidRDefault="006E30B5">
      <w:pPr>
        <w:pBdr>
          <w:top w:val="nil"/>
          <w:left w:val="nil"/>
          <w:bottom w:val="nil"/>
          <w:right w:val="nil"/>
          <w:between w:val="nil"/>
        </w:pBdr>
        <w:rPr>
          <w:rFonts w:eastAsia="Century Schoolbook"/>
          <w:color w:val="000000"/>
        </w:rPr>
      </w:pPr>
      <w:r w:rsidRPr="009F549F">
        <w:rPr>
          <w:vertAlign w:val="superscript"/>
        </w:rPr>
        <w:footnoteRef/>
      </w:r>
      <w:r w:rsidRPr="00036097">
        <w:rPr>
          <w:rFonts w:eastAsia="Century Schoolbook"/>
          <w:color w:val="000000"/>
        </w:rPr>
        <w:t xml:space="preserve"> </w:t>
      </w:r>
      <w:proofErr w:type="spellStart"/>
      <w:r w:rsidRPr="00036097">
        <w:rPr>
          <w:rFonts w:eastAsia="Century Schoolbook"/>
          <w:color w:val="000000"/>
        </w:rPr>
        <w:t>Glogower</w:t>
      </w:r>
      <w:proofErr w:type="spellEnd"/>
      <w:r w:rsidRPr="00036097">
        <w:rPr>
          <w:rFonts w:eastAsia="Century Schoolbook"/>
          <w:color w:val="000000"/>
        </w:rPr>
        <w:t xml:space="preserve">, </w:t>
      </w:r>
      <w:r w:rsidRPr="00036097">
        <w:rPr>
          <w:rFonts w:eastAsia="Century Schoolbook"/>
          <w:i/>
          <w:color w:val="000000"/>
        </w:rPr>
        <w:t>supra</w:t>
      </w:r>
      <w:r w:rsidRPr="00036097">
        <w:rPr>
          <w:rFonts w:eastAsia="Century Schoolbook"/>
          <w:color w:val="000000"/>
        </w:rPr>
        <w:t xml:space="preserve"> note </w:t>
      </w:r>
      <w:r w:rsidRPr="00036097">
        <w:rPr>
          <w:rFonts w:eastAsia="Century Schoolbook"/>
          <w:color w:val="000000"/>
        </w:rPr>
        <w:fldChar w:fldCharType="begin"/>
      </w:r>
      <w:r w:rsidRPr="00036097">
        <w:rPr>
          <w:rFonts w:eastAsia="Century Schoolbook"/>
          <w:color w:val="000000"/>
        </w:rPr>
        <w:instrText xml:space="preserve"> NOTEREF _Ref115603608 \h  \* MERGEFORMAT </w:instrText>
      </w:r>
      <w:r w:rsidRPr="00036097">
        <w:rPr>
          <w:rFonts w:eastAsia="Century Schoolbook"/>
          <w:color w:val="000000"/>
        </w:rPr>
      </w:r>
      <w:r w:rsidRPr="00036097">
        <w:rPr>
          <w:rFonts w:eastAsia="Century Schoolbook"/>
          <w:color w:val="000000"/>
        </w:rPr>
        <w:fldChar w:fldCharType="separate"/>
      </w:r>
      <w:r>
        <w:rPr>
          <w:rFonts w:eastAsia="Century Schoolbook"/>
          <w:color w:val="000000"/>
        </w:rPr>
        <w:t>64</w:t>
      </w:r>
      <w:r w:rsidRPr="00036097">
        <w:rPr>
          <w:rFonts w:eastAsia="Century Schoolbook"/>
          <w:color w:val="000000"/>
        </w:rPr>
        <w:fldChar w:fldCharType="end"/>
      </w:r>
      <w:r w:rsidRPr="00036097">
        <w:rPr>
          <w:rFonts w:eastAsia="Century Schoolbook"/>
          <w:color w:val="000000"/>
        </w:rPr>
        <w:t xml:space="preserve">, at 153 (explaining </w:t>
      </w:r>
      <w:r>
        <w:rPr>
          <w:rFonts w:eastAsia="Century Schoolbook"/>
          <w:color w:val="000000"/>
        </w:rPr>
        <w:t>why</w:t>
      </w:r>
      <w:r w:rsidRPr="00036097">
        <w:rPr>
          <w:rFonts w:eastAsia="Century Schoolbook"/>
          <w:color w:val="000000"/>
        </w:rPr>
        <w:t xml:space="preserve"> a “deferred tax account . . . would be settled at death, to ensure that all taxes on deferred gains and losses were fully accounted for”). </w:t>
      </w:r>
    </w:p>
  </w:footnote>
  <w:footnote w:id="214">
    <w:p w14:paraId="4A6656A7" w14:textId="0B3282B4" w:rsidR="006E30B5" w:rsidRPr="009F549F" w:rsidRDefault="006E30B5">
      <w:pPr>
        <w:pBdr>
          <w:top w:val="nil"/>
          <w:left w:val="nil"/>
          <w:bottom w:val="nil"/>
          <w:right w:val="nil"/>
          <w:between w:val="nil"/>
        </w:pBdr>
        <w:rPr>
          <w:rFonts w:eastAsia="Century Schoolbook"/>
          <w:color w:val="000000"/>
        </w:rPr>
      </w:pPr>
      <w:r w:rsidRPr="009F549F">
        <w:rPr>
          <w:vertAlign w:val="superscript"/>
        </w:rPr>
        <w:footnoteRef/>
      </w:r>
      <w:r w:rsidRPr="009F549F">
        <w:rPr>
          <w:rFonts w:eastAsia="Century Schoolbook"/>
          <w:color w:val="000000"/>
        </w:rPr>
        <w:t xml:space="preserve"> </w:t>
      </w:r>
      <w:r w:rsidRPr="009F549F">
        <w:rPr>
          <w:rFonts w:eastAsia="Century Schoolbook"/>
          <w:i/>
          <w:color w:val="000000"/>
        </w:rPr>
        <w:t>Id.</w:t>
      </w:r>
      <w:r w:rsidRPr="00036097">
        <w:rPr>
          <w:rFonts w:eastAsia="Century Schoolbook"/>
          <w:i/>
          <w:color w:val="000000"/>
        </w:rPr>
        <w:t xml:space="preserve"> </w:t>
      </w:r>
    </w:p>
  </w:footnote>
  <w:footnote w:id="215">
    <w:p w14:paraId="53172866" w14:textId="28284777" w:rsidR="006E30B5" w:rsidRPr="009F549F" w:rsidRDefault="006E30B5">
      <w:pPr>
        <w:pBdr>
          <w:top w:val="nil"/>
          <w:left w:val="nil"/>
          <w:bottom w:val="nil"/>
          <w:right w:val="nil"/>
          <w:between w:val="nil"/>
        </w:pBdr>
        <w:rPr>
          <w:rFonts w:eastAsia="Century Schoolbook"/>
          <w:color w:val="000000"/>
        </w:rPr>
      </w:pPr>
      <w:r w:rsidRPr="009F549F">
        <w:rPr>
          <w:vertAlign w:val="superscript"/>
        </w:rPr>
        <w:footnoteRef/>
      </w:r>
      <w:r w:rsidRPr="009F549F">
        <w:rPr>
          <w:rFonts w:eastAsia="Century Schoolbook"/>
          <w:color w:val="000000"/>
        </w:rPr>
        <w:t xml:space="preserve"> </w:t>
      </w:r>
      <w:r w:rsidRPr="009F549F">
        <w:rPr>
          <w:rFonts w:eastAsia="Century Schoolbook"/>
          <w:i/>
          <w:color w:val="000000"/>
        </w:rPr>
        <w:t xml:space="preserve">See </w:t>
      </w:r>
      <w:r w:rsidRPr="009F549F">
        <w:rPr>
          <w:rFonts w:eastAsia="Century Schoolbook"/>
          <w:color w:val="000000"/>
        </w:rPr>
        <w:t xml:space="preserve">David Gamage &amp; Darien Shanske, </w:t>
      </w:r>
      <w:r w:rsidRPr="009F549F">
        <w:rPr>
          <w:rFonts w:eastAsia="Century Schoolbook"/>
          <w:i/>
          <w:color w:val="000000"/>
        </w:rPr>
        <w:t>Three Essays on Tax Salience: Market Salience and Political Salience</w:t>
      </w:r>
      <w:r w:rsidRPr="009F549F">
        <w:rPr>
          <w:rFonts w:eastAsia="Century Schoolbook"/>
          <w:color w:val="000000"/>
        </w:rPr>
        <w:t xml:space="preserve">, 65 </w:t>
      </w:r>
      <w:r w:rsidRPr="009F549F">
        <w:rPr>
          <w:rFonts w:eastAsia="Century Schoolbook"/>
          <w:smallCaps/>
          <w:color w:val="000000"/>
        </w:rPr>
        <w:t xml:space="preserve">Tax L. Rev. </w:t>
      </w:r>
      <w:r w:rsidRPr="009F549F">
        <w:rPr>
          <w:rFonts w:eastAsia="Century Schoolbook"/>
          <w:smallCaps/>
          <w:color w:val="000000"/>
        </w:rPr>
        <w:t xml:space="preserve">19, </w:t>
      </w:r>
      <w:r w:rsidRPr="009F549F">
        <w:rPr>
          <w:rFonts w:eastAsia="Century Schoolbook"/>
          <w:color w:val="000000"/>
        </w:rPr>
        <w:t xml:space="preserve">86 (2011) </w:t>
      </w:r>
      <w:r w:rsidRPr="00036097">
        <w:rPr>
          <w:rFonts w:eastAsia="Century Schoolbook"/>
          <w:color w:val="000000"/>
        </w:rPr>
        <w:t>(“[A]</w:t>
      </w:r>
      <w:proofErr w:type="spellStart"/>
      <w:r w:rsidRPr="00036097">
        <w:rPr>
          <w:rFonts w:eastAsia="Century Schoolbook"/>
          <w:color w:val="000000"/>
        </w:rPr>
        <w:t>ny</w:t>
      </w:r>
      <w:proofErr w:type="spellEnd"/>
      <w:r w:rsidRPr="009F549F">
        <w:rPr>
          <w:rFonts w:eastAsia="Century Schoolbook"/>
          <w:color w:val="000000"/>
        </w:rPr>
        <w:t xml:space="preserve"> amounts calculated as gross income—or as other pretax resource measurements—are dependent on the existence of government in its current form.”).</w:t>
      </w:r>
    </w:p>
  </w:footnote>
  <w:footnote w:id="216">
    <w:p w14:paraId="3A75A1D4" w14:textId="3DA1D416" w:rsidR="006E30B5" w:rsidRPr="009F549F" w:rsidRDefault="006E30B5">
      <w:pPr>
        <w:pBdr>
          <w:top w:val="nil"/>
          <w:left w:val="nil"/>
          <w:bottom w:val="nil"/>
          <w:right w:val="nil"/>
          <w:between w:val="nil"/>
        </w:pBdr>
        <w:rPr>
          <w:rFonts w:eastAsia="Century Schoolbook"/>
          <w:color w:val="000000"/>
        </w:rPr>
      </w:pPr>
      <w:r w:rsidRPr="009F549F">
        <w:rPr>
          <w:vertAlign w:val="superscript"/>
        </w:rPr>
        <w:footnoteRef/>
      </w:r>
      <w:r w:rsidRPr="009F549F">
        <w:rPr>
          <w:rFonts w:eastAsia="Century Schoolbook"/>
          <w:color w:val="000000"/>
        </w:rPr>
        <w:t xml:space="preserve"> Lederman, </w:t>
      </w:r>
      <w:r w:rsidRPr="009F549F">
        <w:rPr>
          <w:rFonts w:eastAsia="Century Schoolbook"/>
          <w:i/>
          <w:color w:val="000000"/>
        </w:rPr>
        <w:t xml:space="preserve">supra </w:t>
      </w:r>
      <w:r w:rsidRPr="009F549F">
        <w:rPr>
          <w:rFonts w:eastAsia="Century Schoolbook"/>
          <w:color w:val="000000"/>
        </w:rPr>
        <w:t xml:space="preserve">note </w:t>
      </w:r>
      <w:r w:rsidRPr="00036097">
        <w:rPr>
          <w:rFonts w:eastAsia="Century Schoolbook"/>
          <w:color w:val="000000"/>
        </w:rPr>
        <w:fldChar w:fldCharType="begin"/>
      </w:r>
      <w:r w:rsidRPr="00036097">
        <w:rPr>
          <w:rFonts w:eastAsia="Century Schoolbook"/>
          <w:color w:val="000000"/>
        </w:rPr>
        <w:instrText xml:space="preserve"> NOTEREF _Ref115603759 \h  \* MERGEFORMAT </w:instrText>
      </w:r>
      <w:r w:rsidRPr="00036097">
        <w:rPr>
          <w:rFonts w:eastAsia="Century Schoolbook"/>
          <w:color w:val="000000"/>
        </w:rPr>
      </w:r>
      <w:r w:rsidRPr="00036097">
        <w:rPr>
          <w:rFonts w:eastAsia="Century Schoolbook"/>
          <w:color w:val="000000"/>
        </w:rPr>
        <w:fldChar w:fldCharType="separate"/>
      </w:r>
      <w:r>
        <w:rPr>
          <w:rFonts w:eastAsia="Century Schoolbook"/>
          <w:color w:val="000000"/>
        </w:rPr>
        <w:t>17</w:t>
      </w:r>
      <w:r w:rsidRPr="00036097">
        <w:rPr>
          <w:rFonts w:eastAsia="Century Schoolbook"/>
          <w:color w:val="000000"/>
        </w:rPr>
        <w:fldChar w:fldCharType="end"/>
      </w:r>
      <w:r w:rsidRPr="00036097">
        <w:rPr>
          <w:rFonts w:eastAsia="Century Schoolbook"/>
          <w:color w:val="000000"/>
        </w:rPr>
        <w:t>,</w:t>
      </w:r>
      <w:r w:rsidRPr="009F549F">
        <w:rPr>
          <w:rFonts w:eastAsia="Century Schoolbook"/>
          <w:color w:val="000000"/>
        </w:rPr>
        <w:t xml:space="preserve"> at 1497</w:t>
      </w:r>
      <w:r w:rsidRPr="00036097">
        <w:rPr>
          <w:rFonts w:eastAsia="Century Schoolbook"/>
          <w:color w:val="000000"/>
        </w:rPr>
        <w:t>–</w:t>
      </w:r>
      <w:r w:rsidRPr="009F549F">
        <w:rPr>
          <w:rFonts w:eastAsia="Century Schoolbook"/>
          <w:color w:val="000000"/>
        </w:rPr>
        <w:t>99.</w:t>
      </w:r>
    </w:p>
  </w:footnote>
  <w:footnote w:id="217">
    <w:p w14:paraId="4DCE1483" w14:textId="5DF94F1C" w:rsidR="006E30B5" w:rsidRPr="009F549F" w:rsidRDefault="006E30B5">
      <w:pPr>
        <w:pBdr>
          <w:top w:val="nil"/>
          <w:left w:val="nil"/>
          <w:bottom w:val="nil"/>
          <w:right w:val="nil"/>
          <w:between w:val="nil"/>
        </w:pBdr>
        <w:rPr>
          <w:rFonts w:eastAsia="Century Schoolbook"/>
          <w:color w:val="000000"/>
        </w:rPr>
      </w:pPr>
      <w:r w:rsidRPr="009F549F">
        <w:rPr>
          <w:vertAlign w:val="superscript"/>
        </w:rPr>
        <w:footnoteRef/>
      </w:r>
      <w:r w:rsidRPr="009F549F">
        <w:rPr>
          <w:rFonts w:eastAsia="Century Schoolbook"/>
          <w:color w:val="000000"/>
        </w:rPr>
        <w:t xml:space="preserve"> </w:t>
      </w:r>
      <w:r w:rsidRPr="009F549F">
        <w:rPr>
          <w:rFonts w:eastAsia="Century Schoolbook"/>
          <w:i/>
          <w:color w:val="000000"/>
        </w:rPr>
        <w:t>See</w:t>
      </w:r>
      <w:r w:rsidRPr="009F549F">
        <w:rPr>
          <w:rFonts w:eastAsia="Century Schoolbook"/>
          <w:color w:val="000000"/>
        </w:rPr>
        <w:t xml:space="preserve"> </w:t>
      </w:r>
      <w:r w:rsidRPr="009F549F">
        <w:rPr>
          <w:rFonts w:eastAsia="Century Schoolbook"/>
          <w:i/>
          <w:color w:val="000000"/>
        </w:rPr>
        <w:t>supra</w:t>
      </w:r>
      <w:r w:rsidRPr="009F549F">
        <w:rPr>
          <w:rFonts w:eastAsia="Century Schoolbook"/>
          <w:color w:val="000000"/>
        </w:rPr>
        <w:t xml:space="preserve"> Part </w:t>
      </w:r>
      <w:r>
        <w:rPr>
          <w:rFonts w:ascii="Century Schoolbook" w:eastAsia="Century Schoolbook" w:hAnsi="Century Schoolbook" w:cs="Century Schoolbook"/>
          <w:color w:val="000000"/>
          <w:sz w:val="20"/>
          <w:szCs w:val="20"/>
        </w:rPr>
        <w:t>II.</w:t>
      </w:r>
      <w:r w:rsidRPr="00A77270">
        <w:rPr>
          <w:rFonts w:eastAsia="Century Schoolbook"/>
          <w:color w:val="000000"/>
        </w:rPr>
        <w:fldChar w:fldCharType="begin"/>
      </w:r>
      <w:r w:rsidRPr="00A77270">
        <w:rPr>
          <w:rFonts w:eastAsia="Century Schoolbook"/>
          <w:color w:val="000000"/>
        </w:rPr>
        <w:instrText xml:space="preserve"> REF _Ref119430611 \h </w:instrText>
      </w:r>
      <w:r w:rsidRPr="00E344E0">
        <w:rPr>
          <w:rFonts w:eastAsia="Century Schoolbook"/>
          <w:color w:val="000000"/>
        </w:rPr>
        <w:instrText xml:space="preserve"> \* MERGEFORMAT </w:instrText>
      </w:r>
      <w:r w:rsidRPr="00A77270">
        <w:rPr>
          <w:rFonts w:eastAsia="Century Schoolbook"/>
          <w:color w:val="000000"/>
        </w:rPr>
      </w:r>
      <w:r w:rsidRPr="00A77270">
        <w:rPr>
          <w:rFonts w:eastAsia="Century Schoolbook"/>
          <w:color w:val="000000"/>
        </w:rPr>
        <w:fldChar w:fldCharType="separate"/>
      </w:r>
      <w:r w:rsidRPr="009F549F">
        <w:t xml:space="preserve">B. </w:t>
      </w:r>
      <w:r w:rsidRPr="00A77270">
        <w:rPr>
          <w:rFonts w:eastAsia="Century Schoolbook"/>
          <w:color w:val="000000"/>
        </w:rPr>
        <w:fldChar w:fldCharType="end"/>
      </w:r>
      <w:r w:rsidRPr="00036097">
        <w:rPr>
          <w:rFonts w:eastAsia="Century Schoolbook"/>
          <w:color w:val="000000"/>
        </w:rPr>
        <w:t xml:space="preserve"> (explaining that “formulaic valuation has important limitations” and that while it “work reasonably well for simple equity interests, it struggles to pinpoint value for many other modern financial instruments”).</w:t>
      </w:r>
      <w:r w:rsidRPr="009F549F">
        <w:rPr>
          <w:rFonts w:eastAsia="Century Schoolbook"/>
          <w:color w:val="000000"/>
        </w:rPr>
        <w:t xml:space="preserve"> Especially concerning here are convertible debt-equity interests and other complicated forms of hybrid ownership interests. These can be designed to be exceedingly difficult to value through formulaic methods, and standard appraisal-based valuation of these can be highly gameable. Yet allowing these to be substantially undervalued for tax purposes or otherwise exempting these from effective taxation could create problematic incentives for sophisticated taxpayers to switch from more straightforward (easier to value) ownership interests to these more complicated (harder to value) ownership interests.</w:t>
      </w:r>
    </w:p>
  </w:footnote>
  <w:footnote w:id="218">
    <w:p w14:paraId="75F5BEE7" w14:textId="405CDF28" w:rsidR="006E30B5" w:rsidRPr="009F549F" w:rsidRDefault="006E30B5">
      <w:pPr>
        <w:pBdr>
          <w:top w:val="nil"/>
          <w:left w:val="nil"/>
          <w:bottom w:val="nil"/>
          <w:right w:val="nil"/>
          <w:between w:val="nil"/>
        </w:pBdr>
        <w:rPr>
          <w:rFonts w:eastAsia="Century Schoolbook"/>
          <w:smallCaps/>
          <w:color w:val="000000"/>
        </w:rPr>
      </w:pPr>
      <w:r w:rsidRPr="009F549F">
        <w:rPr>
          <w:vertAlign w:val="superscript"/>
        </w:rPr>
        <w:footnoteRef/>
      </w:r>
      <w:r w:rsidRPr="009F549F">
        <w:rPr>
          <w:rFonts w:eastAsia="Century Schoolbook"/>
          <w:color w:val="000000"/>
        </w:rPr>
        <w:t xml:space="preserve"> Richard M. Lipton, </w:t>
      </w:r>
      <w:r w:rsidRPr="009F549F">
        <w:rPr>
          <w:rFonts w:eastAsia="Century Schoolbook"/>
          <w:i/>
          <w:color w:val="000000"/>
        </w:rPr>
        <w:t xml:space="preserve">Procedural Due Process in Tax Collection: An Opportunity for a Prompt </w:t>
      </w:r>
      <w:proofErr w:type="spellStart"/>
      <w:r w:rsidRPr="009F549F">
        <w:rPr>
          <w:rFonts w:eastAsia="Century Schoolbook"/>
          <w:i/>
          <w:color w:val="000000"/>
        </w:rPr>
        <w:t>Postdeprivation</w:t>
      </w:r>
      <w:proofErr w:type="spellEnd"/>
      <w:r w:rsidRPr="009F549F">
        <w:rPr>
          <w:rFonts w:eastAsia="Century Schoolbook"/>
          <w:i/>
          <w:color w:val="000000"/>
        </w:rPr>
        <w:t xml:space="preserve"> Hearing</w:t>
      </w:r>
      <w:r w:rsidRPr="009F549F">
        <w:rPr>
          <w:rFonts w:eastAsia="Century Schoolbook"/>
          <w:color w:val="000000"/>
        </w:rPr>
        <w:t xml:space="preserve">, 44 </w:t>
      </w:r>
      <w:r w:rsidRPr="009F549F">
        <w:rPr>
          <w:rFonts w:eastAsia="Century Schoolbook"/>
          <w:smallCaps/>
          <w:color w:val="000000"/>
        </w:rPr>
        <w:t xml:space="preserve">U. Chi. L. </w:t>
      </w:r>
      <w:r w:rsidRPr="00036097">
        <w:rPr>
          <w:rFonts w:eastAsia="Century Schoolbook"/>
          <w:smallCaps/>
          <w:color w:val="000000"/>
        </w:rPr>
        <w:t>Rev</w:t>
      </w:r>
      <w:r w:rsidRPr="009F549F">
        <w:rPr>
          <w:rFonts w:eastAsia="Century Schoolbook"/>
          <w:smallCaps/>
          <w:color w:val="000000"/>
        </w:rPr>
        <w:t>. 594, 594 (1977).</w:t>
      </w:r>
    </w:p>
  </w:footnote>
  <w:footnote w:id="219">
    <w:p w14:paraId="6FA99189" w14:textId="45E9D048" w:rsidR="006E30B5" w:rsidRPr="009F549F" w:rsidRDefault="006E30B5">
      <w:pPr>
        <w:pBdr>
          <w:top w:val="nil"/>
          <w:left w:val="nil"/>
          <w:bottom w:val="nil"/>
          <w:right w:val="nil"/>
          <w:between w:val="nil"/>
        </w:pBdr>
        <w:rPr>
          <w:rFonts w:eastAsia="Century Schoolbook"/>
          <w:color w:val="000000"/>
        </w:rPr>
      </w:pPr>
      <w:r w:rsidRPr="009F549F">
        <w:rPr>
          <w:vertAlign w:val="superscript"/>
        </w:rPr>
        <w:footnoteRef/>
      </w:r>
      <w:r w:rsidRPr="009F549F">
        <w:rPr>
          <w:rFonts w:eastAsia="Century Schoolbook"/>
          <w:color w:val="000000"/>
        </w:rPr>
        <w:t xml:space="preserve"> Lederman, </w:t>
      </w:r>
      <w:r w:rsidRPr="009F549F">
        <w:rPr>
          <w:rFonts w:eastAsia="Century Schoolbook"/>
          <w:i/>
          <w:color w:val="000000"/>
        </w:rPr>
        <w:t>supra</w:t>
      </w:r>
      <w:r w:rsidRPr="009F549F">
        <w:rPr>
          <w:rFonts w:eastAsia="Century Schoolbook"/>
          <w:color w:val="000000"/>
        </w:rPr>
        <w:t xml:space="preserve"> note </w:t>
      </w:r>
      <w:r w:rsidRPr="00036097">
        <w:rPr>
          <w:rFonts w:eastAsia="Century Schoolbook"/>
          <w:color w:val="000000"/>
        </w:rPr>
        <w:fldChar w:fldCharType="begin"/>
      </w:r>
      <w:r w:rsidRPr="00036097">
        <w:rPr>
          <w:rFonts w:eastAsia="Century Schoolbook"/>
          <w:color w:val="000000"/>
        </w:rPr>
        <w:instrText xml:space="preserve"> NOTEREF _Ref115603759 \h  \* MERGEFORMAT </w:instrText>
      </w:r>
      <w:r w:rsidRPr="00036097">
        <w:rPr>
          <w:rFonts w:eastAsia="Century Schoolbook"/>
          <w:color w:val="000000"/>
        </w:rPr>
      </w:r>
      <w:r w:rsidRPr="00036097">
        <w:rPr>
          <w:rFonts w:eastAsia="Century Schoolbook"/>
          <w:color w:val="000000"/>
        </w:rPr>
        <w:fldChar w:fldCharType="separate"/>
      </w:r>
      <w:r>
        <w:rPr>
          <w:rFonts w:eastAsia="Century Schoolbook"/>
          <w:color w:val="000000"/>
        </w:rPr>
        <w:t>17</w:t>
      </w:r>
      <w:r w:rsidRPr="00036097">
        <w:rPr>
          <w:rFonts w:eastAsia="Century Schoolbook"/>
          <w:color w:val="000000"/>
        </w:rPr>
        <w:fldChar w:fldCharType="end"/>
      </w:r>
      <w:r w:rsidRPr="00036097">
        <w:rPr>
          <w:rFonts w:eastAsia="Century Schoolbook"/>
          <w:color w:val="000000"/>
        </w:rPr>
        <w:t>,</w:t>
      </w:r>
      <w:r w:rsidRPr="009F549F">
        <w:rPr>
          <w:rFonts w:eastAsia="Century Schoolbook"/>
          <w:color w:val="000000"/>
        </w:rPr>
        <w:t xml:space="preserve"> at 1498.</w:t>
      </w:r>
      <w:r w:rsidRPr="00036097">
        <w:rPr>
          <w:rFonts w:eastAsia="Century Schoolbook"/>
          <w:color w:val="000000"/>
        </w:rPr>
        <w:t xml:space="preserve"> </w:t>
      </w:r>
    </w:p>
  </w:footnote>
  <w:footnote w:id="220">
    <w:p w14:paraId="6516265A" w14:textId="126A441C" w:rsidR="006E30B5" w:rsidRDefault="006E30B5">
      <w:pPr>
        <w:pBdr>
          <w:top w:val="nil"/>
          <w:left w:val="nil"/>
          <w:bottom w:val="nil"/>
          <w:right w:val="nil"/>
          <w:between w:val="nil"/>
        </w:pBdr>
        <w:rPr>
          <w:rFonts w:eastAsia="Century Schoolbook"/>
          <w:color w:val="000000"/>
        </w:rPr>
      </w:pPr>
      <w:r w:rsidRPr="009F549F">
        <w:rPr>
          <w:vertAlign w:val="superscript"/>
        </w:rPr>
        <w:footnoteRef/>
      </w:r>
      <w:r w:rsidRPr="009F549F">
        <w:rPr>
          <w:rFonts w:eastAsia="Century Schoolbook"/>
          <w:color w:val="000000"/>
        </w:rPr>
        <w:t xml:space="preserve"> This is the </w:t>
      </w:r>
      <w:r>
        <w:rPr>
          <w:rFonts w:ascii="Century Schoolbook" w:eastAsia="Century Schoolbook" w:hAnsi="Century Schoolbook" w:cs="Century Schoolbook"/>
          <w:color w:val="000000"/>
          <w:sz w:val="20"/>
          <w:szCs w:val="20"/>
        </w:rPr>
        <w:t xml:space="preserve">essence of the </w:t>
      </w:r>
      <w:r w:rsidRPr="009F549F">
        <w:rPr>
          <w:rFonts w:eastAsia="Century Schoolbook"/>
          <w:color w:val="000000"/>
        </w:rPr>
        <w:t xml:space="preserve">approach used by the </w:t>
      </w:r>
      <w:r>
        <w:rPr>
          <w:rFonts w:ascii="Century Schoolbook" w:eastAsia="Century Schoolbook" w:hAnsi="Century Schoolbook" w:cs="Century Schoolbook"/>
          <w:color w:val="000000"/>
          <w:sz w:val="20"/>
          <w:szCs w:val="20"/>
        </w:rPr>
        <w:t>proposed</w:t>
      </w:r>
      <w:r w:rsidRPr="007D6E99">
        <w:rPr>
          <w:rFonts w:ascii="Century Schoolbook" w:eastAsia="Century Schoolbook" w:hAnsi="Century Schoolbook" w:cs="Century Schoolbook"/>
          <w:color w:val="000000"/>
          <w:sz w:val="20"/>
          <w:szCs w:val="20"/>
        </w:rPr>
        <w:t xml:space="preserve"> </w:t>
      </w:r>
      <w:r w:rsidRPr="009F549F">
        <w:rPr>
          <w:rFonts w:eastAsia="Century Schoolbook"/>
          <w:color w:val="000000"/>
        </w:rPr>
        <w:t>California Tax on Extreme Wealth</w:t>
      </w:r>
      <w:r w:rsidRPr="00036097">
        <w:rPr>
          <w:rFonts w:eastAsia="Century Schoolbook"/>
          <w:color w:val="000000"/>
        </w:rPr>
        <w:t xml:space="preserve">. </w:t>
      </w:r>
      <w:r w:rsidRPr="00036097">
        <w:rPr>
          <w:rFonts w:eastAsia="Century Schoolbook"/>
          <w:i/>
          <w:color w:val="000000"/>
        </w:rPr>
        <w:t>See</w:t>
      </w:r>
      <w:r w:rsidRPr="009F549F">
        <w:rPr>
          <w:rFonts w:eastAsia="Century Schoolbook"/>
          <w:color w:val="000000"/>
        </w:rPr>
        <w:t xml:space="preserve"> Part </w:t>
      </w:r>
      <w:r w:rsidRPr="00301C88">
        <w:rPr>
          <w:rFonts w:eastAsia="Century Schoolbook"/>
          <w:color w:val="000000"/>
        </w:rPr>
        <w:fldChar w:fldCharType="begin"/>
      </w:r>
      <w:r w:rsidRPr="00301C88">
        <w:rPr>
          <w:rFonts w:eastAsia="Century Schoolbook"/>
          <w:color w:val="000000"/>
        </w:rPr>
        <w:instrText xml:space="preserve"> REF _Ref119430662 \h </w:instrText>
      </w:r>
      <w:r w:rsidRPr="007B3F86">
        <w:rPr>
          <w:rFonts w:eastAsia="Century Schoolbook"/>
          <w:color w:val="000000"/>
        </w:rPr>
        <w:instrText xml:space="preserve"> \* MERGEFORMAT </w:instrText>
      </w:r>
      <w:r w:rsidRPr="00301C88">
        <w:rPr>
          <w:rFonts w:eastAsia="Century Schoolbook"/>
          <w:color w:val="000000"/>
        </w:rPr>
      </w:r>
      <w:r w:rsidRPr="00301C88">
        <w:rPr>
          <w:rFonts w:eastAsia="Century Schoolbook"/>
          <w:color w:val="000000"/>
        </w:rPr>
        <w:fldChar w:fldCharType="separate"/>
      </w:r>
      <w:r w:rsidRPr="009F549F">
        <w:t xml:space="preserve">A. </w:t>
      </w:r>
      <w:r w:rsidRPr="002B7D8E">
        <w:rPr>
          <w:i/>
        </w:rPr>
        <w:t>Comprehensive Wealth Tax Reforms and the Proposed California Tax on Extreme Wealth</w:t>
      </w:r>
      <w:r w:rsidRPr="00301C88">
        <w:rPr>
          <w:rFonts w:eastAsia="Century Schoolbook"/>
          <w:color w:val="000000"/>
        </w:rPr>
        <w:fldChar w:fldCharType="end"/>
      </w:r>
      <w:r>
        <w:rPr>
          <w:rFonts w:eastAsia="Century Schoolbook"/>
          <w:color w:val="000000"/>
        </w:rPr>
        <w:t xml:space="preserve"> </w:t>
      </w:r>
      <w:r w:rsidRPr="00036097">
        <w:rPr>
          <w:rFonts w:eastAsia="Century Schoolbook"/>
          <w:color w:val="000000"/>
        </w:rPr>
        <w:t>(explaining that under ULTRA, “taxpayers would have the option of either attaching an ULTRA .</w:t>
      </w:r>
      <w:r>
        <w:rPr>
          <w:rFonts w:eastAsia="Century Schoolbook"/>
          <w:color w:val="000000"/>
        </w:rPr>
        <w:t> </w:t>
      </w:r>
      <w:r w:rsidRPr="00036097">
        <w:rPr>
          <w:rFonts w:eastAsia="Century Schoolbook"/>
          <w:color w:val="000000"/>
        </w:rPr>
        <w:t>.</w:t>
      </w:r>
      <w:r>
        <w:rPr>
          <w:rFonts w:eastAsia="Century Schoolbook"/>
          <w:color w:val="000000"/>
        </w:rPr>
        <w:t> </w:t>
      </w:r>
      <w:r w:rsidRPr="00036097">
        <w:rPr>
          <w:rFonts w:eastAsia="Century Schoolbook"/>
          <w:color w:val="000000"/>
        </w:rPr>
        <w:t>. or else accepting the alternative take-it-or-leave-it valuation”);</w:t>
      </w:r>
      <w:r w:rsidRPr="009F549F">
        <w:rPr>
          <w:rFonts w:eastAsia="Century Schoolbook"/>
          <w:color w:val="000000"/>
        </w:rPr>
        <w:t xml:space="preserve"> Galle et al., </w:t>
      </w:r>
      <w:r w:rsidRPr="009F549F">
        <w:rPr>
          <w:rFonts w:eastAsia="Century Schoolbook"/>
          <w:i/>
          <w:color w:val="000000"/>
        </w:rPr>
        <w:t>supra</w:t>
      </w:r>
      <w:r w:rsidRPr="009F549F">
        <w:rPr>
          <w:rFonts w:eastAsia="Century Schoolbook"/>
          <w:color w:val="000000"/>
        </w:rPr>
        <w:t xml:space="preserve"> note </w:t>
      </w:r>
      <w:r w:rsidRPr="00036097">
        <w:rPr>
          <w:rFonts w:eastAsia="Century Schoolbook"/>
          <w:color w:val="000000"/>
        </w:rPr>
        <w:fldChar w:fldCharType="begin"/>
      </w:r>
      <w:r w:rsidRPr="00036097">
        <w:rPr>
          <w:rFonts w:eastAsia="Century Schoolbook"/>
          <w:color w:val="000000"/>
        </w:rPr>
        <w:instrText xml:space="preserve"> NOTEREF _Ref115379713 \h  \* MERGEFORMAT </w:instrText>
      </w:r>
      <w:r w:rsidRPr="00036097">
        <w:rPr>
          <w:rFonts w:eastAsia="Century Schoolbook"/>
          <w:color w:val="000000"/>
        </w:rPr>
      </w:r>
      <w:r w:rsidRPr="00036097">
        <w:rPr>
          <w:rFonts w:eastAsia="Century Schoolbook"/>
          <w:color w:val="000000"/>
        </w:rPr>
        <w:fldChar w:fldCharType="separate"/>
      </w:r>
      <w:r>
        <w:rPr>
          <w:rFonts w:eastAsia="Century Schoolbook"/>
          <w:color w:val="000000"/>
        </w:rPr>
        <w:t>31</w:t>
      </w:r>
      <w:r w:rsidRPr="00036097">
        <w:rPr>
          <w:rFonts w:eastAsia="Century Schoolbook"/>
          <w:color w:val="000000"/>
        </w:rPr>
        <w:fldChar w:fldCharType="end"/>
      </w:r>
      <w:r w:rsidRPr="00036097">
        <w:rPr>
          <w:rFonts w:eastAsia="Century Schoolbook"/>
          <w:smallCaps/>
          <w:color w:val="000000"/>
        </w:rPr>
        <w:t>.</w:t>
      </w:r>
      <w:r w:rsidRPr="009F549F">
        <w:rPr>
          <w:rFonts w:eastAsia="Century Schoolbook"/>
          <w:color w:val="000000"/>
        </w:rPr>
        <w:t xml:space="preserve"> </w:t>
      </w:r>
      <w:r>
        <w:rPr>
          <w:rFonts w:eastAsia="Century Schoolbook"/>
          <w:color w:val="000000"/>
        </w:rPr>
        <w:t xml:space="preserve">For an analogous existing regime, consider the small tax case procedures of Section 7463 of the Internal Revenue Code, whereby eligible taxpayers can elect into a process that results in summary opinions that cannot be appealed and that may not serve as legal precedent; </w:t>
      </w:r>
      <w:r>
        <w:rPr>
          <w:rFonts w:eastAsia="Century Schoolbook"/>
          <w:i/>
          <w:iCs/>
          <w:color w:val="000000"/>
        </w:rPr>
        <w:t>see</w:t>
      </w:r>
      <w:r>
        <w:rPr>
          <w:rFonts w:eastAsia="Century Schoolbook"/>
          <w:color w:val="000000"/>
        </w:rPr>
        <w:t xml:space="preserve"> </w:t>
      </w:r>
      <w:r w:rsidRPr="007B22CF">
        <w:rPr>
          <w:rFonts w:eastAsia="Century Schoolbook"/>
          <w:color w:val="000000"/>
        </w:rPr>
        <w:t xml:space="preserve">Harold Dubroff &amp; Brant J. </w:t>
      </w:r>
      <w:proofErr w:type="spellStart"/>
      <w:r w:rsidRPr="007B22CF">
        <w:rPr>
          <w:rFonts w:eastAsia="Century Schoolbook"/>
          <w:color w:val="000000"/>
        </w:rPr>
        <w:t>Hellwig</w:t>
      </w:r>
      <w:proofErr w:type="spellEnd"/>
      <w:r>
        <w:rPr>
          <w:rFonts w:eastAsia="Century Schoolbook"/>
          <w:color w:val="000000"/>
        </w:rPr>
        <w:t xml:space="preserve">, </w:t>
      </w:r>
      <w:r w:rsidRPr="007B22CF">
        <w:rPr>
          <w:rFonts w:eastAsia="Century Schoolbook"/>
          <w:color w:val="000000"/>
        </w:rPr>
        <w:t>THE UNITED STATES</w:t>
      </w:r>
      <w:r>
        <w:rPr>
          <w:rFonts w:eastAsia="Century Schoolbook"/>
          <w:color w:val="000000"/>
        </w:rPr>
        <w:t xml:space="preserve"> </w:t>
      </w:r>
      <w:r w:rsidRPr="007B22CF">
        <w:rPr>
          <w:rFonts w:eastAsia="Century Schoolbook"/>
          <w:color w:val="000000"/>
        </w:rPr>
        <w:t>TAX COURT</w:t>
      </w:r>
      <w:r>
        <w:rPr>
          <w:rFonts w:eastAsia="Century Schoolbook"/>
          <w:color w:val="000000"/>
        </w:rPr>
        <w:t xml:space="preserve">: </w:t>
      </w:r>
      <w:r w:rsidRPr="007B22CF">
        <w:rPr>
          <w:rFonts w:eastAsia="Century Schoolbook"/>
          <w:color w:val="000000"/>
        </w:rPr>
        <w:t>AN HISTORICAL</w:t>
      </w:r>
      <w:r>
        <w:rPr>
          <w:rFonts w:eastAsia="Century Schoolbook"/>
          <w:color w:val="000000"/>
        </w:rPr>
        <w:t xml:space="preserve"> </w:t>
      </w:r>
      <w:r w:rsidRPr="007B22CF">
        <w:rPr>
          <w:rFonts w:eastAsia="Century Schoolbook"/>
          <w:color w:val="000000"/>
        </w:rPr>
        <w:t>ANALYSIS</w:t>
      </w:r>
      <w:r>
        <w:rPr>
          <w:rFonts w:eastAsia="Century Schoolbook"/>
          <w:color w:val="000000"/>
        </w:rPr>
        <w:t>, 883-86 &amp; 891-94 (2</w:t>
      </w:r>
      <w:r w:rsidRPr="000C0F7F">
        <w:rPr>
          <w:rFonts w:eastAsia="Century Schoolbook"/>
          <w:color w:val="000000"/>
          <w:vertAlign w:val="superscript"/>
        </w:rPr>
        <w:t>nd</w:t>
      </w:r>
      <w:r>
        <w:rPr>
          <w:rFonts w:eastAsia="Century Schoolbook"/>
          <w:color w:val="000000"/>
        </w:rPr>
        <w:t xml:space="preserve"> ed.; 2014). </w:t>
      </w:r>
    </w:p>
    <w:p w14:paraId="22DBC0D2" w14:textId="1749A5FB" w:rsidR="006E30B5" w:rsidRPr="009F549F" w:rsidRDefault="006E30B5" w:rsidP="009F549F">
      <w:pPr>
        <w:pBdr>
          <w:top w:val="nil"/>
          <w:left w:val="nil"/>
          <w:bottom w:val="nil"/>
          <w:right w:val="nil"/>
          <w:between w:val="nil"/>
        </w:pBdr>
        <w:ind w:firstLine="720"/>
        <w:rPr>
          <w:rFonts w:eastAsia="Century Schoolbook"/>
          <w:color w:val="000000"/>
        </w:rPr>
      </w:pPr>
      <w:r>
        <w:rPr>
          <w:rFonts w:eastAsia="Century Schoolbook"/>
          <w:color w:val="000000"/>
        </w:rPr>
        <w:t xml:space="preserve">To elaborate just a bit more on some specifics, we do think that the taxpayer should perhaps be provided with a very limited ability to contest these valuations through an internal review process managed by the tax authority (without having to reject the valuation in favor of the ULTRA). But this internal review process should be limited to the taxpayer showing clear mistake in the valuation (an example of what might constitute a clear mistake is if the wrong assets were appraised). Importantly, the taxpayer should not be permitted to provide their own expert appraisal valuations as part of this review process. Then, any subsequent judicial review should be limited to a showing of abuse of discretion by the tax authority. </w:t>
      </w:r>
      <w:r>
        <w:rPr>
          <w:rFonts w:eastAsia="Century Schoolbook"/>
          <w:color w:val="000000"/>
        </w:rPr>
        <w:tab/>
      </w:r>
    </w:p>
  </w:footnote>
  <w:footnote w:id="221">
    <w:p w14:paraId="7A1E9746" w14:textId="1A9C27F1" w:rsidR="006E30B5" w:rsidRPr="009F549F" w:rsidRDefault="006E30B5">
      <w:pPr>
        <w:pBdr>
          <w:top w:val="nil"/>
          <w:left w:val="nil"/>
          <w:bottom w:val="nil"/>
          <w:right w:val="nil"/>
          <w:between w:val="nil"/>
        </w:pBdr>
        <w:rPr>
          <w:rFonts w:eastAsia="Century Schoolbook"/>
          <w:color w:val="000000"/>
        </w:rPr>
      </w:pPr>
      <w:r w:rsidRPr="009F549F">
        <w:rPr>
          <w:vertAlign w:val="superscript"/>
        </w:rPr>
        <w:footnoteRef/>
      </w:r>
      <w:r w:rsidRPr="009F549F">
        <w:rPr>
          <w:rFonts w:eastAsia="Century Schoolbook"/>
          <w:color w:val="000000"/>
        </w:rPr>
        <w:t xml:space="preserve"> </w:t>
      </w:r>
      <w:r w:rsidRPr="009F549F">
        <w:rPr>
          <w:rFonts w:eastAsia="Century Schoolbook"/>
          <w:i/>
          <w:color w:val="000000"/>
        </w:rPr>
        <w:t>See</w:t>
      </w:r>
      <w:r w:rsidRPr="009F549F">
        <w:rPr>
          <w:rFonts w:eastAsia="Century Schoolbook"/>
          <w:color w:val="000000"/>
        </w:rPr>
        <w:t xml:space="preserve"> Heather M. Field, </w:t>
      </w:r>
      <w:r w:rsidRPr="009F549F">
        <w:rPr>
          <w:rFonts w:eastAsia="Century Schoolbook"/>
          <w:i/>
          <w:color w:val="000000"/>
        </w:rPr>
        <w:t>Choosing Tax Explicit Elections as an Element of Design in the Federal Income Tax System</w:t>
      </w:r>
      <w:r w:rsidRPr="009F549F">
        <w:rPr>
          <w:rFonts w:eastAsia="Century Schoolbook"/>
          <w:color w:val="000000"/>
        </w:rPr>
        <w:t xml:space="preserve">, 47 </w:t>
      </w:r>
      <w:r w:rsidRPr="009F549F">
        <w:rPr>
          <w:rFonts w:eastAsia="Century Schoolbook"/>
          <w:smallCaps/>
          <w:color w:val="000000"/>
        </w:rPr>
        <w:t xml:space="preserve">Harv. J. </w:t>
      </w:r>
      <w:r w:rsidRPr="00AB5019">
        <w:rPr>
          <w:rFonts w:eastAsia="Century Schoolbook"/>
          <w:smallCaps/>
          <w:color w:val="000000"/>
        </w:rPr>
        <w:t>Leg</w:t>
      </w:r>
      <w:r w:rsidRPr="00036097">
        <w:rPr>
          <w:rFonts w:eastAsia="Century Schoolbook"/>
          <w:smallCaps/>
          <w:color w:val="000000"/>
        </w:rPr>
        <w:t>is</w:t>
      </w:r>
      <w:r w:rsidRPr="009F549F">
        <w:rPr>
          <w:rFonts w:eastAsia="Century Schoolbook"/>
          <w:smallCaps/>
          <w:color w:val="000000"/>
        </w:rPr>
        <w:t>.</w:t>
      </w:r>
      <w:r w:rsidRPr="009F549F">
        <w:rPr>
          <w:rFonts w:eastAsia="Century Schoolbook"/>
          <w:color w:val="000000"/>
        </w:rPr>
        <w:t xml:space="preserve"> 21, 58–59 (2010</w:t>
      </w:r>
      <w:r w:rsidRPr="00036097">
        <w:rPr>
          <w:rFonts w:eastAsia="Century Schoolbook"/>
          <w:color w:val="000000"/>
        </w:rPr>
        <w:t>) (noting that “factual uncertainty, where the tax consequences of making or failing to make the election depend on events that will occur in the future, that are uncertain, and that are largely outside the taxpayers</w:t>
      </w:r>
      <w:r>
        <w:rPr>
          <w:rFonts w:eastAsia="Century Schoolbook"/>
          <w:color w:val="000000"/>
        </w:rPr>
        <w:t>’</w:t>
      </w:r>
      <w:r w:rsidRPr="00036097">
        <w:rPr>
          <w:rFonts w:eastAsia="Century Schoolbook"/>
          <w:color w:val="000000"/>
        </w:rPr>
        <w:t xml:space="preserve"> control”</w:t>
      </w:r>
      <w:r>
        <w:rPr>
          <w:rFonts w:eastAsia="Century Schoolbook"/>
          <w:color w:val="000000"/>
        </w:rPr>
        <w:t xml:space="preserve"> will limit the extent to which ability to make an election will systematically favor taxpayers</w:t>
      </w:r>
      <w:r w:rsidRPr="00036097">
        <w:rPr>
          <w:rFonts w:eastAsia="Century Schoolbook"/>
          <w:color w:val="000000"/>
        </w:rPr>
        <w:t xml:space="preserve">). </w:t>
      </w:r>
    </w:p>
  </w:footnote>
  <w:footnote w:id="222">
    <w:p w14:paraId="029E3FAF" w14:textId="5394E4D8" w:rsidR="006E30B5" w:rsidRPr="009F549F" w:rsidRDefault="006E30B5">
      <w:pPr>
        <w:pBdr>
          <w:top w:val="nil"/>
          <w:left w:val="nil"/>
          <w:bottom w:val="nil"/>
          <w:right w:val="nil"/>
          <w:between w:val="nil"/>
        </w:pBdr>
        <w:rPr>
          <w:rFonts w:eastAsia="Century Schoolbook"/>
          <w:color w:val="000000"/>
        </w:rPr>
      </w:pPr>
      <w:r w:rsidRPr="009F549F">
        <w:rPr>
          <w:vertAlign w:val="superscript"/>
        </w:rPr>
        <w:footnoteRef/>
      </w:r>
      <w:r w:rsidRPr="009F549F">
        <w:rPr>
          <w:rFonts w:eastAsia="Century Schoolbook"/>
          <w:color w:val="000000"/>
        </w:rPr>
        <w:t xml:space="preserve"> I.R.C. § 83.</w:t>
      </w:r>
      <w:r w:rsidRPr="008676BA">
        <w:rPr>
          <w:rFonts w:eastAsia="Century Schoolbook"/>
          <w:b/>
          <w:color w:val="000000"/>
        </w:rPr>
        <w:t xml:space="preserve"> </w:t>
      </w:r>
    </w:p>
  </w:footnote>
  <w:footnote w:id="223">
    <w:p w14:paraId="6756E4F6" w14:textId="5376CB4E" w:rsidR="006E30B5" w:rsidRPr="008676BA" w:rsidRDefault="006E30B5">
      <w:pPr>
        <w:pStyle w:val="FootnoteText"/>
        <w:rPr>
          <w:rFonts w:ascii="Times New Roman" w:hAnsi="Times New Roman" w:cs="Times New Roman"/>
          <w:sz w:val="24"/>
          <w:szCs w:val="24"/>
          <w:lang w:val="en-US"/>
        </w:rPr>
      </w:pPr>
      <w:r w:rsidRPr="008676BA">
        <w:rPr>
          <w:rStyle w:val="FootnoteReference"/>
          <w:rFonts w:ascii="Times New Roman" w:hAnsi="Times New Roman" w:cs="Times New Roman"/>
          <w:sz w:val="24"/>
          <w:szCs w:val="24"/>
        </w:rPr>
        <w:footnoteRef/>
      </w:r>
      <w:r w:rsidRPr="008676BA">
        <w:rPr>
          <w:rFonts w:ascii="Times New Roman" w:hAnsi="Times New Roman" w:cs="Times New Roman"/>
          <w:sz w:val="24"/>
          <w:szCs w:val="24"/>
        </w:rPr>
        <w:t xml:space="preserve"> </w:t>
      </w:r>
      <w:r>
        <w:rPr>
          <w:rFonts w:ascii="Times New Roman" w:hAnsi="Times New Roman" w:cs="Times New Roman"/>
          <w:i/>
          <w:iCs/>
          <w:sz w:val="24"/>
          <w:szCs w:val="24"/>
        </w:rPr>
        <w:t xml:space="preserve">Id. </w:t>
      </w:r>
      <w:r>
        <w:rPr>
          <w:rFonts w:ascii="Times New Roman" w:hAnsi="Times New Roman" w:cs="Times New Roman"/>
          <w:sz w:val="24"/>
          <w:szCs w:val="24"/>
        </w:rPr>
        <w:t>§ 83(a)(1).</w:t>
      </w:r>
    </w:p>
  </w:footnote>
  <w:footnote w:id="224">
    <w:p w14:paraId="0BFDDBBE" w14:textId="73B503F7" w:rsidR="006E30B5" w:rsidRPr="009F549F" w:rsidRDefault="006E30B5">
      <w:pPr>
        <w:pBdr>
          <w:top w:val="nil"/>
          <w:left w:val="nil"/>
          <w:bottom w:val="nil"/>
          <w:right w:val="nil"/>
          <w:between w:val="nil"/>
        </w:pBdr>
        <w:rPr>
          <w:rFonts w:eastAsia="Century Schoolbook"/>
          <w:color w:val="000000"/>
        </w:rPr>
      </w:pPr>
      <w:r w:rsidRPr="009F549F">
        <w:rPr>
          <w:vertAlign w:val="superscript"/>
        </w:rPr>
        <w:footnoteRef/>
      </w:r>
      <w:r w:rsidRPr="00036097">
        <w:rPr>
          <w:rFonts w:eastAsia="Century Schoolbook"/>
          <w:color w:val="000000"/>
        </w:rPr>
        <w:t xml:space="preserve"> </w:t>
      </w:r>
      <w:r>
        <w:rPr>
          <w:rFonts w:eastAsia="Century Schoolbook"/>
          <w:i/>
          <w:iCs/>
          <w:color w:val="000000"/>
        </w:rPr>
        <w:t>Id.</w:t>
      </w:r>
    </w:p>
  </w:footnote>
  <w:footnote w:id="225">
    <w:p w14:paraId="24E3C039" w14:textId="02661C83" w:rsidR="006E30B5" w:rsidRPr="009F549F" w:rsidRDefault="006E30B5">
      <w:pPr>
        <w:pBdr>
          <w:top w:val="nil"/>
          <w:left w:val="nil"/>
          <w:bottom w:val="nil"/>
          <w:right w:val="nil"/>
          <w:between w:val="nil"/>
        </w:pBdr>
        <w:rPr>
          <w:rFonts w:eastAsia="Century Schoolbook"/>
          <w:color w:val="000000"/>
        </w:rPr>
      </w:pPr>
      <w:r w:rsidRPr="009F549F">
        <w:rPr>
          <w:vertAlign w:val="superscript"/>
        </w:rPr>
        <w:footnoteRef/>
      </w:r>
      <w:r w:rsidRPr="009F549F">
        <w:rPr>
          <w:rFonts w:eastAsia="Century Schoolbook"/>
          <w:color w:val="000000"/>
        </w:rPr>
        <w:t xml:space="preserve"> </w:t>
      </w:r>
      <w:r>
        <w:rPr>
          <w:rFonts w:eastAsia="Century Schoolbook"/>
          <w:i/>
          <w:iCs/>
          <w:color w:val="000000"/>
        </w:rPr>
        <w:t>Id</w:t>
      </w:r>
      <w:r w:rsidRPr="009F549F">
        <w:rPr>
          <w:rFonts w:eastAsia="Century Schoolbook"/>
          <w:i/>
          <w:color w:val="000000"/>
        </w:rPr>
        <w:t xml:space="preserve">. </w:t>
      </w:r>
      <w:r w:rsidRPr="009F549F">
        <w:rPr>
          <w:rFonts w:eastAsia="Century Schoolbook"/>
          <w:color w:val="000000"/>
        </w:rPr>
        <w:t>§ 83(b)(1)(A).</w:t>
      </w:r>
    </w:p>
  </w:footnote>
  <w:footnote w:id="226">
    <w:p w14:paraId="50521E04" w14:textId="77777777" w:rsidR="006E30B5" w:rsidRPr="009F549F" w:rsidRDefault="006E30B5">
      <w:pPr>
        <w:pBdr>
          <w:top w:val="nil"/>
          <w:left w:val="nil"/>
          <w:bottom w:val="nil"/>
          <w:right w:val="nil"/>
          <w:between w:val="nil"/>
        </w:pBdr>
        <w:rPr>
          <w:rFonts w:eastAsia="Century Schoolbook"/>
          <w:color w:val="000000"/>
        </w:rPr>
      </w:pPr>
      <w:r w:rsidRPr="009F549F">
        <w:rPr>
          <w:vertAlign w:val="superscript"/>
        </w:rPr>
        <w:footnoteRef/>
      </w:r>
      <w:r w:rsidRPr="009F549F">
        <w:rPr>
          <w:rFonts w:eastAsia="Century Schoolbook"/>
          <w:color w:val="000000"/>
        </w:rPr>
        <w:t xml:space="preserve"> David I. </w:t>
      </w:r>
      <w:r w:rsidRPr="009F549F">
        <w:rPr>
          <w:rFonts w:eastAsia="Century Schoolbook"/>
          <w:color w:val="000000"/>
        </w:rPr>
        <w:t xml:space="preserve">Walker, </w:t>
      </w:r>
      <w:r w:rsidRPr="009F549F">
        <w:rPr>
          <w:rFonts w:eastAsia="Century Schoolbook"/>
          <w:i/>
          <w:color w:val="000000"/>
        </w:rPr>
        <w:t>Is Equity Compensation Tax Advantaged?</w:t>
      </w:r>
      <w:r w:rsidRPr="009F549F">
        <w:rPr>
          <w:rFonts w:eastAsia="Century Schoolbook"/>
          <w:color w:val="000000"/>
        </w:rPr>
        <w:t xml:space="preserve">, 84 </w:t>
      </w:r>
      <w:r w:rsidRPr="009F549F">
        <w:rPr>
          <w:rFonts w:eastAsia="Century Schoolbook"/>
          <w:smallCaps/>
          <w:color w:val="000000"/>
        </w:rPr>
        <w:t>B.U. L. Rev.</w:t>
      </w:r>
      <w:r w:rsidRPr="009F549F">
        <w:rPr>
          <w:rFonts w:eastAsia="Century Schoolbook"/>
          <w:color w:val="000000"/>
        </w:rPr>
        <w:t xml:space="preserve"> 695, 707 (2004) (citing interview evidence).</w:t>
      </w:r>
    </w:p>
  </w:footnote>
  <w:footnote w:id="227">
    <w:p w14:paraId="79566FCE" w14:textId="6851596B" w:rsidR="006E30B5" w:rsidRPr="009F549F" w:rsidRDefault="006E30B5">
      <w:pPr>
        <w:pBdr>
          <w:top w:val="nil"/>
          <w:left w:val="nil"/>
          <w:bottom w:val="nil"/>
          <w:right w:val="nil"/>
          <w:between w:val="nil"/>
        </w:pBdr>
        <w:rPr>
          <w:rFonts w:eastAsia="Century Schoolbook"/>
          <w:color w:val="000000"/>
        </w:rPr>
      </w:pPr>
      <w:r w:rsidRPr="009F549F">
        <w:rPr>
          <w:vertAlign w:val="superscript"/>
        </w:rPr>
        <w:footnoteRef/>
      </w:r>
      <w:r w:rsidRPr="009F549F">
        <w:rPr>
          <w:rFonts w:eastAsia="Century Schoolbook"/>
          <w:color w:val="000000"/>
        </w:rPr>
        <w:t xml:space="preserve"> </w:t>
      </w:r>
      <w:r w:rsidRPr="009F549F">
        <w:rPr>
          <w:rFonts w:eastAsia="Century Schoolbook"/>
          <w:i/>
          <w:color w:val="000000"/>
        </w:rPr>
        <w:t>See</w:t>
      </w:r>
      <w:r w:rsidRPr="009F549F">
        <w:rPr>
          <w:rFonts w:eastAsia="Century Schoolbook"/>
          <w:color w:val="000000"/>
        </w:rPr>
        <w:t xml:space="preserve"> Victor Fleischer, </w:t>
      </w:r>
      <w:r w:rsidRPr="009F549F">
        <w:rPr>
          <w:rFonts w:eastAsia="Century Schoolbook"/>
          <w:i/>
          <w:color w:val="000000"/>
        </w:rPr>
        <w:t xml:space="preserve">Taxing </w:t>
      </w:r>
      <w:r w:rsidRPr="00036097">
        <w:rPr>
          <w:rFonts w:eastAsia="Century Schoolbook"/>
          <w:i/>
          <w:color w:val="000000"/>
        </w:rPr>
        <w:t>Founders’</w:t>
      </w:r>
      <w:r w:rsidRPr="009F549F">
        <w:rPr>
          <w:rFonts w:eastAsia="Century Schoolbook"/>
          <w:i/>
          <w:color w:val="000000"/>
        </w:rPr>
        <w:t xml:space="preserve"> Stock</w:t>
      </w:r>
      <w:r w:rsidRPr="009F549F">
        <w:rPr>
          <w:rFonts w:eastAsia="Century Schoolbook"/>
          <w:color w:val="000000"/>
        </w:rPr>
        <w:t xml:space="preserve">, 59 UCLA L. </w:t>
      </w:r>
      <w:r w:rsidRPr="009F549F">
        <w:rPr>
          <w:rFonts w:eastAsia="Century Schoolbook"/>
          <w:smallCaps/>
          <w:color w:val="000000"/>
        </w:rPr>
        <w:t>Rev</w:t>
      </w:r>
      <w:r w:rsidRPr="009F549F">
        <w:rPr>
          <w:rFonts w:eastAsia="Century Schoolbook"/>
          <w:color w:val="000000"/>
        </w:rPr>
        <w:t xml:space="preserve">. 60, 73–74 (2011) (illustrating strategic use of 83(b) in startup context). </w:t>
      </w:r>
      <w:r w:rsidRPr="009F549F">
        <w:rPr>
          <w:rFonts w:eastAsia="Century Schoolbook"/>
          <w:i/>
          <w:color w:val="000000"/>
        </w:rPr>
        <w:t>But see</w:t>
      </w:r>
      <w:r w:rsidRPr="009F549F">
        <w:rPr>
          <w:rFonts w:eastAsia="Century Schoolbook"/>
          <w:color w:val="000000"/>
        </w:rPr>
        <w:t xml:space="preserve"> Gregg D. Polsky &amp; Brant J. </w:t>
      </w:r>
      <w:proofErr w:type="spellStart"/>
      <w:r w:rsidRPr="009F549F">
        <w:rPr>
          <w:rFonts w:eastAsia="Century Schoolbook"/>
          <w:color w:val="000000"/>
        </w:rPr>
        <w:t>Hellwig</w:t>
      </w:r>
      <w:proofErr w:type="spellEnd"/>
      <w:r w:rsidRPr="009F549F">
        <w:rPr>
          <w:rFonts w:eastAsia="Century Schoolbook"/>
          <w:color w:val="000000"/>
        </w:rPr>
        <w:t xml:space="preserve">, </w:t>
      </w:r>
      <w:r w:rsidRPr="009F549F">
        <w:rPr>
          <w:rFonts w:eastAsia="Century Schoolbook"/>
          <w:i/>
          <w:color w:val="000000"/>
        </w:rPr>
        <w:t>Examining the Tax Advantage of Founders’ Stock</w:t>
      </w:r>
      <w:r w:rsidRPr="009F549F">
        <w:rPr>
          <w:rFonts w:eastAsia="Century Schoolbook"/>
          <w:color w:val="000000"/>
        </w:rPr>
        <w:t xml:space="preserve">, 97 </w:t>
      </w:r>
      <w:r w:rsidRPr="009F549F">
        <w:rPr>
          <w:rFonts w:eastAsia="Century Schoolbook"/>
          <w:smallCaps/>
          <w:color w:val="000000"/>
        </w:rPr>
        <w:t>Iowa L. Rev.</w:t>
      </w:r>
      <w:r w:rsidRPr="009F549F">
        <w:rPr>
          <w:rFonts w:eastAsia="Century Schoolbook"/>
          <w:color w:val="000000"/>
        </w:rPr>
        <w:t xml:space="preserve"> 1085, 1106–11 (2012) (arguing that joint tax benefits are small or nonexistent in many startup scenarios). Note that in our case there is not a party analogous to the business paying the compensation complicating the analysis as to the overall tax effect of the election</w:t>
      </w:r>
      <w:r>
        <w:rPr>
          <w:rFonts w:ascii="Century Schoolbook" w:eastAsia="Century Schoolbook" w:hAnsi="Century Schoolbook" w:cs="Century Schoolbook"/>
          <w:color w:val="000000"/>
          <w:sz w:val="20"/>
          <w:szCs w:val="20"/>
        </w:rPr>
        <w:t xml:space="preserve">. </w:t>
      </w:r>
      <w:r w:rsidRPr="009F549F">
        <w:rPr>
          <w:rFonts w:eastAsia="Century Schoolbook"/>
          <w:color w:val="000000"/>
        </w:rPr>
        <w:t>If one does think that the</w:t>
      </w:r>
      <w:r>
        <w:rPr>
          <w:rFonts w:eastAsia="Century Schoolbook"/>
          <w:color w:val="000000"/>
        </w:rPr>
        <w:t xml:space="preserve"> section</w:t>
      </w:r>
      <w:r w:rsidRPr="009F549F">
        <w:rPr>
          <w:rFonts w:eastAsia="Century Schoolbook"/>
          <w:color w:val="000000"/>
        </w:rPr>
        <w:t xml:space="preserve"> 83(b) election tends to systematically benefit the wealthy because taking the election and paying tax on nominal value is too generous, the election can be reformed so that the initial </w:t>
      </w:r>
      <w:r>
        <w:rPr>
          <w:rFonts w:eastAsia="Century Schoolbook"/>
          <w:color w:val="000000"/>
        </w:rPr>
        <w:t xml:space="preserve">section </w:t>
      </w:r>
      <w:r w:rsidRPr="009F549F">
        <w:rPr>
          <w:rFonts w:eastAsia="Century Schoolbook"/>
          <w:color w:val="000000"/>
        </w:rPr>
        <w:t>83(b)</w:t>
      </w:r>
      <w:r w:rsidRPr="00036097">
        <w:rPr>
          <w:rFonts w:eastAsia="Century Schoolbook"/>
          <w:color w:val="000000"/>
        </w:rPr>
        <w:t xml:space="preserve"> </w:t>
      </w:r>
      <w:r>
        <w:rPr>
          <w:rFonts w:eastAsia="Century Schoolbook"/>
          <w:color w:val="000000"/>
        </w:rPr>
        <w:t>payment</w:t>
      </w:r>
      <w:r w:rsidRPr="009F549F">
        <w:rPr>
          <w:rFonts w:eastAsia="Century Schoolbook"/>
          <w:color w:val="000000"/>
        </w:rPr>
        <w:t xml:space="preserve"> must be in notional equity</w:t>
      </w:r>
      <w:r w:rsidRPr="00036097">
        <w:rPr>
          <w:rFonts w:eastAsia="Century Schoolbook"/>
          <w:color w:val="000000"/>
        </w:rPr>
        <w:t>—</w:t>
      </w:r>
      <w:r w:rsidRPr="009F549F">
        <w:rPr>
          <w:rFonts w:eastAsia="Century Schoolbook"/>
          <w:color w:val="000000"/>
        </w:rPr>
        <w:t>an ULTRA-type solution.</w:t>
      </w:r>
    </w:p>
  </w:footnote>
  <w:footnote w:id="228">
    <w:p w14:paraId="040C2D06" w14:textId="5D31F9CD" w:rsidR="006E30B5" w:rsidRPr="009F549F" w:rsidRDefault="006E30B5">
      <w:pPr>
        <w:pBdr>
          <w:top w:val="nil"/>
          <w:left w:val="nil"/>
          <w:bottom w:val="nil"/>
          <w:right w:val="nil"/>
          <w:between w:val="nil"/>
        </w:pBdr>
        <w:rPr>
          <w:rFonts w:eastAsia="Century Schoolbook"/>
          <w:color w:val="000000"/>
        </w:rPr>
      </w:pPr>
      <w:r w:rsidRPr="009F549F">
        <w:rPr>
          <w:vertAlign w:val="superscript"/>
        </w:rPr>
        <w:footnoteRef/>
      </w:r>
      <w:r w:rsidRPr="009F549F">
        <w:rPr>
          <w:rFonts w:eastAsia="Century Schoolbook"/>
          <w:color w:val="000000"/>
        </w:rPr>
        <w:t xml:space="preserve"> </w:t>
      </w:r>
      <w:r w:rsidRPr="009F549F">
        <w:rPr>
          <w:rFonts w:eastAsia="Century Schoolbook"/>
          <w:i/>
          <w:color w:val="000000"/>
        </w:rPr>
        <w:t>See</w:t>
      </w:r>
      <w:r w:rsidRPr="009F549F">
        <w:rPr>
          <w:rFonts w:eastAsia="Century Schoolbook"/>
          <w:color w:val="000000"/>
        </w:rPr>
        <w:t xml:space="preserve"> Field</w:t>
      </w:r>
      <w:r>
        <w:rPr>
          <w:rFonts w:eastAsia="Century Schoolbook"/>
          <w:color w:val="000000"/>
        </w:rPr>
        <w:t xml:space="preserve">, </w:t>
      </w:r>
      <w:r w:rsidRPr="009F549F">
        <w:rPr>
          <w:rFonts w:eastAsia="Century Schoolbook"/>
          <w:i/>
          <w:color w:val="000000"/>
        </w:rPr>
        <w:t>supra</w:t>
      </w:r>
      <w:r>
        <w:rPr>
          <w:rFonts w:eastAsia="Century Schoolbook"/>
          <w:color w:val="000000"/>
        </w:rPr>
        <w:t xml:space="preserve"> note </w:t>
      </w:r>
      <w:r>
        <w:rPr>
          <w:rFonts w:eastAsia="Century Schoolbook"/>
          <w:color w:val="000000"/>
        </w:rPr>
        <w:fldChar w:fldCharType="begin"/>
      </w:r>
      <w:r>
        <w:rPr>
          <w:rFonts w:eastAsia="Century Schoolbook"/>
          <w:color w:val="000000"/>
        </w:rPr>
        <w:instrText xml:space="preserve"> NOTEREF _Ref120289468 \h </w:instrText>
      </w:r>
      <w:r>
        <w:rPr>
          <w:rFonts w:eastAsia="Century Schoolbook"/>
          <w:color w:val="000000"/>
        </w:rPr>
      </w:r>
      <w:r>
        <w:rPr>
          <w:rFonts w:eastAsia="Century Schoolbook"/>
          <w:color w:val="000000"/>
        </w:rPr>
        <w:fldChar w:fldCharType="separate"/>
      </w:r>
      <w:r>
        <w:rPr>
          <w:rFonts w:eastAsia="Century Schoolbook"/>
          <w:color w:val="000000"/>
        </w:rPr>
        <w:t>224</w:t>
      </w:r>
      <w:r>
        <w:rPr>
          <w:rFonts w:eastAsia="Century Schoolbook"/>
          <w:color w:val="000000"/>
        </w:rPr>
        <w:fldChar w:fldCharType="end"/>
      </w:r>
      <w:r w:rsidRPr="009F549F">
        <w:rPr>
          <w:rFonts w:eastAsia="Century Schoolbook"/>
          <w:color w:val="000000"/>
        </w:rPr>
        <w:t xml:space="preserve">, </w:t>
      </w:r>
      <w:r>
        <w:rPr>
          <w:rFonts w:eastAsia="Century Schoolbook"/>
          <w:color w:val="000000"/>
        </w:rPr>
        <w:t xml:space="preserve">at </w:t>
      </w:r>
      <w:r w:rsidRPr="009F549F">
        <w:rPr>
          <w:rFonts w:eastAsia="Century Schoolbook"/>
          <w:color w:val="000000"/>
        </w:rPr>
        <w:t>58–60 (arguing that allowing taxpayer elections may be defensible as a way of increasing taxpayer sense of autonomy, as long as the consequences of the elections are sufficiently constrained). This is of course premised on the alternative take-it-or-leave-it valuation option working sufficiently well to provide alternative valuations that are not excessively gameable or biased in a taxpayer favorable direction. If the alternative take-it-or-leave-it valuation option is to be provided, it is thus critical that it be designed and enforced in a robust manner.</w:t>
      </w:r>
    </w:p>
  </w:footnote>
  <w:footnote w:id="229">
    <w:p w14:paraId="6227E3F8" w14:textId="74FBD91F" w:rsidR="006E30B5" w:rsidRPr="009F549F" w:rsidRDefault="006E30B5">
      <w:pPr>
        <w:rPr>
          <w:rFonts w:eastAsia="Century Schoolbook"/>
        </w:rPr>
      </w:pPr>
      <w:r w:rsidRPr="009F549F">
        <w:rPr>
          <w:vertAlign w:val="superscript"/>
        </w:rPr>
        <w:footnoteRef/>
      </w:r>
      <w:r w:rsidRPr="009F549F">
        <w:rPr>
          <w:rFonts w:eastAsia="Century Schoolbook"/>
        </w:rPr>
        <w:t xml:space="preserve"> Another related example of a stricter valuation option is the rule applied when taxpayers elect out of installment sale treatment. If a taxpayer opts out of the installment method:</w:t>
      </w:r>
    </w:p>
    <w:p w14:paraId="2F61820D" w14:textId="77777777" w:rsidR="006E30B5" w:rsidRPr="009F549F" w:rsidRDefault="006E30B5">
      <w:pPr>
        <w:ind w:left="720"/>
        <w:rPr>
          <w:rFonts w:eastAsia="Century Schoolbook"/>
        </w:rPr>
      </w:pPr>
      <w:r w:rsidRPr="009F549F">
        <w:rPr>
          <w:rFonts w:eastAsia="Century Schoolbook"/>
        </w:rPr>
        <w:t>The fair market value of a contingent payment obligation shall be determined by disregarding any restrictions on transfer imposed by agreement or under local law. The fair market value of a contingent payment obligation may be ascertained from, and in no event shall be considered to be less than, the fair market value of the property sold (less the amount of any other consideration received in the sale).</w:t>
      </w:r>
    </w:p>
    <w:p w14:paraId="4AC70836" w14:textId="77777777" w:rsidR="006E30B5" w:rsidRPr="009F549F" w:rsidRDefault="006E30B5">
      <w:pPr>
        <w:rPr>
          <w:rFonts w:eastAsia="Century Schoolbook"/>
        </w:rPr>
      </w:pPr>
      <w:r w:rsidRPr="009F549F">
        <w:rPr>
          <w:rFonts w:eastAsia="Century Schoolbook"/>
        </w:rPr>
        <w:t>Treas. Reg. § 15a.453-1(d)(2)(iii).</w:t>
      </w:r>
    </w:p>
  </w:footnote>
  <w:footnote w:id="230">
    <w:p w14:paraId="5092D123" w14:textId="1D618F0C" w:rsidR="006E30B5" w:rsidRPr="009F549F" w:rsidRDefault="006E30B5">
      <w:pPr>
        <w:pBdr>
          <w:top w:val="nil"/>
          <w:left w:val="nil"/>
          <w:bottom w:val="nil"/>
          <w:right w:val="nil"/>
          <w:between w:val="nil"/>
        </w:pBdr>
        <w:rPr>
          <w:rFonts w:eastAsia="Century Schoolbook"/>
          <w:color w:val="000000"/>
        </w:rPr>
      </w:pPr>
      <w:r w:rsidRPr="009F549F">
        <w:rPr>
          <w:vertAlign w:val="superscript"/>
        </w:rPr>
        <w:footnoteRef/>
      </w:r>
      <w:r w:rsidRPr="009F549F">
        <w:rPr>
          <w:rFonts w:eastAsia="Century Schoolbook"/>
          <w:color w:val="000000"/>
        </w:rPr>
        <w:t xml:space="preserve"> This option is called a carry-over ULTRA in the proposed legislation to implement President </w:t>
      </w:r>
      <w:r>
        <w:rPr>
          <w:rFonts w:eastAsia="Century Schoolbook"/>
          <w:color w:val="000000"/>
        </w:rPr>
        <w:t xml:space="preserve">Joe </w:t>
      </w:r>
      <w:r w:rsidRPr="009F549F">
        <w:rPr>
          <w:rFonts w:eastAsia="Century Schoolbook"/>
          <w:color w:val="000000"/>
        </w:rPr>
        <w:t xml:space="preserve">Biden’s Billionaire Minimum Tax, see </w:t>
      </w:r>
      <w:r w:rsidRPr="00036097">
        <w:rPr>
          <w:rFonts w:eastAsia="Century Schoolbook"/>
          <w:i/>
          <w:iCs/>
          <w:color w:val="000000"/>
        </w:rPr>
        <w:t>supra</w:t>
      </w:r>
      <w:r w:rsidRPr="00036097">
        <w:rPr>
          <w:rFonts w:eastAsia="Century Schoolbook"/>
          <w:color w:val="000000"/>
        </w:rPr>
        <w:t xml:space="preserve"> </w:t>
      </w:r>
      <w:r w:rsidRPr="009F549F">
        <w:rPr>
          <w:rFonts w:eastAsia="Century Schoolbook"/>
          <w:color w:val="000000"/>
        </w:rPr>
        <w:t xml:space="preserve">note </w:t>
      </w:r>
      <w:r>
        <w:rPr>
          <w:rFonts w:eastAsia="Century Schoolbook"/>
          <w:color w:val="000000"/>
          <w:highlight w:val="yellow"/>
        </w:rPr>
        <w:fldChar w:fldCharType="begin"/>
      </w:r>
      <w:r>
        <w:rPr>
          <w:rFonts w:eastAsia="Century Schoolbook"/>
          <w:color w:val="000000"/>
          <w:highlight w:val="yellow"/>
        </w:rPr>
        <w:instrText xml:space="preserve"> NOTEREF _Ref120289612 \h </w:instrText>
      </w:r>
      <w:r>
        <w:rPr>
          <w:rFonts w:eastAsia="Century Schoolbook"/>
          <w:color w:val="000000"/>
          <w:highlight w:val="yellow"/>
        </w:rPr>
      </w:r>
      <w:r>
        <w:rPr>
          <w:rFonts w:eastAsia="Century Schoolbook"/>
          <w:color w:val="000000"/>
          <w:highlight w:val="yellow"/>
        </w:rPr>
        <w:fldChar w:fldCharType="separate"/>
      </w:r>
      <w:r>
        <w:rPr>
          <w:rFonts w:eastAsia="Century Schoolbook"/>
          <w:color w:val="000000"/>
          <w:highlight w:val="yellow"/>
        </w:rPr>
        <w:t>32</w:t>
      </w:r>
      <w:r>
        <w:rPr>
          <w:rFonts w:eastAsia="Century Schoolbook"/>
          <w:color w:val="000000"/>
          <w:highlight w:val="yellow"/>
        </w:rPr>
        <w:fldChar w:fldCharType="end"/>
      </w:r>
      <w:r w:rsidRPr="009F549F">
        <w:rPr>
          <w:rFonts w:eastAsia="Century Schoolbook"/>
          <w:color w:val="000000"/>
        </w:rPr>
        <w:t xml:space="preserve"> </w:t>
      </w:r>
      <w:r w:rsidRPr="00036097">
        <w:rPr>
          <w:rFonts w:eastAsia="Century Schoolbook"/>
          <w:color w:val="000000"/>
        </w:rPr>
        <w:t xml:space="preserve">.  </w:t>
      </w:r>
    </w:p>
  </w:footnote>
  <w:footnote w:id="231">
    <w:p w14:paraId="6CB61558" w14:textId="6451158B" w:rsidR="006E30B5" w:rsidRPr="009F549F" w:rsidRDefault="006E30B5">
      <w:pPr>
        <w:pStyle w:val="FootnoteText"/>
        <w:rPr>
          <w:rFonts w:ascii="Times New Roman" w:hAnsi="Times New Roman"/>
          <w:sz w:val="24"/>
          <w:lang w:val="en-US"/>
        </w:rPr>
      </w:pPr>
      <w:r w:rsidRPr="009F549F">
        <w:rPr>
          <w:rStyle w:val="FootnoteReference"/>
          <w:rFonts w:ascii="Times New Roman" w:hAnsi="Times New Roman"/>
          <w:sz w:val="24"/>
        </w:rPr>
        <w:footnoteRef/>
      </w:r>
      <w:r w:rsidRPr="009F549F">
        <w:rPr>
          <w:rFonts w:ascii="Times New Roman" w:hAnsi="Times New Roman"/>
          <w:sz w:val="24"/>
        </w:rPr>
        <w:t xml:space="preserve"> </w:t>
      </w:r>
      <w:r w:rsidRPr="009F549F">
        <w:rPr>
          <w:rFonts w:ascii="Times New Roman" w:hAnsi="Times New Roman"/>
          <w:i/>
          <w:sz w:val="24"/>
          <w:lang w:val="en-US"/>
        </w:rPr>
        <w:t xml:space="preserve">See </w:t>
      </w:r>
      <w:r w:rsidRPr="00036097">
        <w:rPr>
          <w:rFonts w:ascii="Times New Roman" w:hAnsi="Times New Roman" w:cs="Times New Roman"/>
          <w:i/>
          <w:iCs/>
          <w:sz w:val="24"/>
          <w:szCs w:val="24"/>
          <w:lang w:val="en-US"/>
        </w:rPr>
        <w:t>supra</w:t>
      </w:r>
      <w:r w:rsidRPr="006541FD">
        <w:rPr>
          <w:rFonts w:ascii="Times New Roman" w:hAnsi="Times New Roman" w:cs="Times New Roman"/>
          <w:sz w:val="24"/>
          <w:szCs w:val="24"/>
          <w:lang w:val="en-US"/>
        </w:rPr>
        <w:t xml:space="preserve"> </w:t>
      </w:r>
      <w:r w:rsidRPr="009F549F">
        <w:rPr>
          <w:rFonts w:ascii="Times New Roman" w:hAnsi="Times New Roman"/>
          <w:sz w:val="24"/>
          <w:lang w:val="en-US"/>
        </w:rPr>
        <w:t xml:space="preserve">Part </w:t>
      </w:r>
      <w:r>
        <w:rPr>
          <w:rFonts w:ascii="Century Schoolbook" w:hAnsi="Century Schoolbook"/>
          <w:lang w:val="en-US"/>
        </w:rPr>
        <w:t>II.</w:t>
      </w:r>
      <w:r w:rsidRPr="00C9341D">
        <w:rPr>
          <w:rFonts w:ascii="Times New Roman" w:hAnsi="Times New Roman" w:cs="Times New Roman"/>
          <w:sz w:val="24"/>
          <w:szCs w:val="24"/>
          <w:lang w:val="en-US"/>
        </w:rPr>
        <w:fldChar w:fldCharType="begin"/>
      </w:r>
      <w:r w:rsidRPr="00C9341D">
        <w:rPr>
          <w:rFonts w:ascii="Times New Roman" w:hAnsi="Times New Roman" w:cs="Times New Roman"/>
          <w:sz w:val="24"/>
          <w:szCs w:val="24"/>
          <w:lang w:val="en-US"/>
        </w:rPr>
        <w:instrText xml:space="preserve"> REF _Ref119430207 \h </w:instrText>
      </w:r>
      <w:r w:rsidRPr="009F549F">
        <w:rPr>
          <w:rFonts w:ascii="Times New Roman" w:hAnsi="Times New Roman" w:cs="Times New Roman"/>
          <w:sz w:val="24"/>
          <w:szCs w:val="24"/>
          <w:lang w:val="en-US"/>
        </w:rPr>
        <w:instrText xml:space="preserve"> \* MERGEFORMAT </w:instrText>
      </w:r>
      <w:r w:rsidRPr="00C9341D">
        <w:rPr>
          <w:rFonts w:ascii="Times New Roman" w:hAnsi="Times New Roman" w:cs="Times New Roman"/>
          <w:sz w:val="24"/>
          <w:szCs w:val="24"/>
          <w:lang w:val="en-US"/>
        </w:rPr>
      </w:r>
      <w:r w:rsidRPr="00C9341D">
        <w:rPr>
          <w:rFonts w:ascii="Times New Roman" w:hAnsi="Times New Roman" w:cs="Times New Roman"/>
          <w:sz w:val="24"/>
          <w:szCs w:val="24"/>
          <w:lang w:val="en-US"/>
        </w:rPr>
        <w:fldChar w:fldCharType="separate"/>
      </w:r>
      <w:r w:rsidRPr="009F549F">
        <w:rPr>
          <w:rFonts w:ascii="Times New Roman" w:hAnsi="Times New Roman" w:cs="Times New Roman"/>
          <w:sz w:val="24"/>
          <w:szCs w:val="24"/>
        </w:rPr>
        <w:t xml:space="preserve">C. </w:t>
      </w:r>
      <w:r w:rsidRPr="00C9341D">
        <w:rPr>
          <w:rFonts w:ascii="Times New Roman" w:hAnsi="Times New Roman" w:cs="Times New Roman"/>
          <w:sz w:val="24"/>
          <w:szCs w:val="24"/>
          <w:lang w:val="en-US"/>
        </w:rPr>
        <w:fldChar w:fldCharType="end"/>
      </w:r>
      <w:r w:rsidRPr="00C9341D">
        <w:rPr>
          <w:rFonts w:ascii="Times New Roman" w:hAnsi="Times New Roman" w:cs="Times New Roman"/>
          <w:sz w:val="24"/>
          <w:szCs w:val="24"/>
          <w:lang w:val="en-US"/>
        </w:rPr>
        <w:t>.</w:t>
      </w:r>
    </w:p>
  </w:footnote>
  <w:footnote w:id="232">
    <w:p w14:paraId="2A2DA23E" w14:textId="636554B4" w:rsidR="006E30B5" w:rsidRPr="009F549F" w:rsidRDefault="006E30B5">
      <w:pPr>
        <w:pStyle w:val="FootnoteText"/>
        <w:rPr>
          <w:rFonts w:ascii="Times New Roman" w:hAnsi="Times New Roman"/>
          <w:sz w:val="24"/>
          <w:lang w:val="en-US"/>
        </w:rPr>
      </w:pPr>
      <w:r w:rsidRPr="009F549F">
        <w:rPr>
          <w:rStyle w:val="FootnoteReference"/>
          <w:rFonts w:ascii="Times New Roman" w:hAnsi="Times New Roman"/>
          <w:sz w:val="24"/>
        </w:rPr>
        <w:footnoteRef/>
      </w:r>
      <w:r w:rsidRPr="001A475C">
        <w:rPr>
          <w:rFonts w:ascii="Times New Roman" w:hAnsi="Times New Roman" w:cs="Times New Roman"/>
          <w:sz w:val="24"/>
          <w:szCs w:val="24"/>
        </w:rPr>
        <w:t xml:space="preserve"> </w:t>
      </w:r>
      <w:r w:rsidRPr="001A475C">
        <w:rPr>
          <w:rFonts w:ascii="Times New Roman" w:hAnsi="Times New Roman" w:cs="Times New Roman"/>
          <w:i/>
          <w:sz w:val="24"/>
          <w:szCs w:val="24"/>
          <w:lang w:val="en-US"/>
        </w:rPr>
        <w:t>See</w:t>
      </w:r>
      <w:r w:rsidRPr="001A475C">
        <w:rPr>
          <w:rFonts w:ascii="Times New Roman" w:hAnsi="Times New Roman" w:cs="Times New Roman"/>
          <w:sz w:val="24"/>
          <w:szCs w:val="24"/>
          <w:lang w:val="en-US"/>
        </w:rPr>
        <w:t xml:space="preserve"> </w:t>
      </w:r>
      <w:r w:rsidRPr="009F549F">
        <w:rPr>
          <w:rFonts w:ascii="Times New Roman" w:hAnsi="Times New Roman" w:cs="Times New Roman"/>
          <w:i/>
          <w:sz w:val="24"/>
          <w:szCs w:val="24"/>
          <w:lang w:val="en-US"/>
        </w:rPr>
        <w:t>supra</w:t>
      </w:r>
      <w:r>
        <w:rPr>
          <w:rFonts w:ascii="Times New Roman" w:hAnsi="Times New Roman" w:cs="Times New Roman"/>
          <w:sz w:val="24"/>
          <w:szCs w:val="24"/>
          <w:lang w:val="en-US"/>
        </w:rPr>
        <w:t xml:space="preserve"> </w:t>
      </w:r>
      <w:r w:rsidRPr="001A475C">
        <w:rPr>
          <w:rFonts w:ascii="Times New Roman" w:hAnsi="Times New Roman" w:cs="Times New Roman"/>
          <w:sz w:val="24"/>
          <w:szCs w:val="24"/>
          <w:lang w:val="en-US"/>
        </w:rPr>
        <w:t>Parts</w:t>
      </w:r>
      <w:r w:rsidRPr="00C9341D">
        <w:rPr>
          <w:rFonts w:ascii="Times New Roman" w:hAnsi="Times New Roman" w:cs="Times New Roman"/>
          <w:sz w:val="24"/>
          <w:szCs w:val="24"/>
          <w:lang w:val="en-US"/>
        </w:rPr>
        <w:fldChar w:fldCharType="begin"/>
      </w:r>
      <w:r w:rsidRPr="00C9341D">
        <w:rPr>
          <w:rFonts w:ascii="Times New Roman" w:hAnsi="Times New Roman" w:cs="Times New Roman"/>
          <w:sz w:val="24"/>
          <w:szCs w:val="24"/>
          <w:lang w:val="en-US"/>
        </w:rPr>
        <w:instrText xml:space="preserve"> REF _Ref119431093 \h </w:instrText>
      </w:r>
      <w:r w:rsidRPr="009F549F">
        <w:rPr>
          <w:rFonts w:ascii="Times New Roman" w:hAnsi="Times New Roman" w:cs="Times New Roman"/>
          <w:sz w:val="24"/>
          <w:szCs w:val="24"/>
          <w:lang w:val="en-US"/>
        </w:rPr>
        <w:instrText xml:space="preserve"> \* MERGEFORMAT </w:instrText>
      </w:r>
      <w:r w:rsidRPr="00C9341D">
        <w:rPr>
          <w:rFonts w:ascii="Times New Roman" w:hAnsi="Times New Roman" w:cs="Times New Roman"/>
          <w:sz w:val="24"/>
          <w:szCs w:val="24"/>
          <w:lang w:val="en-US"/>
        </w:rPr>
      </w:r>
      <w:r w:rsidRPr="00C9341D">
        <w:rPr>
          <w:rFonts w:ascii="Times New Roman" w:hAnsi="Times New Roman" w:cs="Times New Roman"/>
          <w:sz w:val="24"/>
          <w:szCs w:val="24"/>
          <w:lang w:val="en-US"/>
        </w:rPr>
        <w:fldChar w:fldCharType="separate"/>
      </w:r>
      <w:r w:rsidRPr="006541FD">
        <w:rPr>
          <w:rFonts w:ascii="Times New Roman" w:hAnsi="Times New Roman" w:cs="Times New Roman"/>
          <w:sz w:val="24"/>
          <w:szCs w:val="24"/>
        </w:rPr>
        <w:t>II.A</w:t>
      </w:r>
      <w:r w:rsidRPr="00C9341D">
        <w:rPr>
          <w:rFonts w:ascii="Times New Roman" w:hAnsi="Times New Roman" w:cs="Times New Roman"/>
          <w:sz w:val="24"/>
          <w:szCs w:val="24"/>
          <w:lang w:val="en-US"/>
        </w:rPr>
        <w:fldChar w:fldCharType="end"/>
      </w:r>
      <w:r>
        <w:rPr>
          <w:rFonts w:ascii="Times New Roman" w:hAnsi="Times New Roman" w:cs="Times New Roman"/>
          <w:sz w:val="24"/>
          <w:szCs w:val="24"/>
          <w:lang w:val="en-US"/>
        </w:rPr>
        <w:t>.–B</w:t>
      </w:r>
      <w:r w:rsidRPr="00C9341D">
        <w:rPr>
          <w:rFonts w:ascii="Times New Roman" w:hAnsi="Times New Roman" w:cs="Times New Roman"/>
          <w:sz w:val="24"/>
          <w:szCs w:val="24"/>
          <w:lang w:val="en-US"/>
        </w:rPr>
        <w:t>.</w:t>
      </w:r>
      <w:r w:rsidRPr="00036097">
        <w:rPr>
          <w:rFonts w:ascii="Times New Roman" w:hAnsi="Times New Roman" w:cs="Times New Roman"/>
          <w:sz w:val="24"/>
          <w:szCs w:val="24"/>
          <w:lang w:val="en-US"/>
        </w:rPr>
        <w:t xml:space="preserve"> </w:t>
      </w:r>
    </w:p>
  </w:footnote>
  <w:footnote w:id="233">
    <w:p w14:paraId="0F340388" w14:textId="690A71BD" w:rsidR="006E30B5" w:rsidRPr="009F549F" w:rsidRDefault="006E30B5">
      <w:pPr>
        <w:pStyle w:val="FootnoteText"/>
        <w:rPr>
          <w:rFonts w:ascii="Times New Roman" w:hAnsi="Times New Roman"/>
          <w:sz w:val="24"/>
          <w:lang w:val="en-US"/>
        </w:rPr>
      </w:pPr>
      <w:r w:rsidRPr="009F549F">
        <w:rPr>
          <w:rStyle w:val="FootnoteReference"/>
          <w:rFonts w:ascii="Times New Roman" w:hAnsi="Times New Roman"/>
          <w:sz w:val="24"/>
        </w:rPr>
        <w:footnoteRef/>
      </w:r>
      <w:r w:rsidRPr="009F549F">
        <w:rPr>
          <w:rFonts w:ascii="Times New Roman" w:hAnsi="Times New Roman"/>
          <w:sz w:val="24"/>
        </w:rPr>
        <w:t xml:space="preserve"> </w:t>
      </w:r>
      <w:r w:rsidRPr="009F549F">
        <w:rPr>
          <w:rFonts w:ascii="Times New Roman" w:hAnsi="Times New Roman"/>
          <w:i/>
          <w:sz w:val="24"/>
          <w:lang w:val="en-US"/>
        </w:rPr>
        <w:t>See</w:t>
      </w:r>
      <w:r w:rsidRPr="009F549F">
        <w:rPr>
          <w:rFonts w:ascii="Times New Roman" w:hAnsi="Times New Roman"/>
          <w:sz w:val="24"/>
          <w:lang w:val="en-US"/>
        </w:rPr>
        <w:t xml:space="preserve"> Part </w:t>
      </w:r>
      <w:r w:rsidRPr="00C9341D">
        <w:rPr>
          <w:rFonts w:ascii="Times New Roman" w:hAnsi="Times New Roman" w:cs="Times New Roman"/>
          <w:sz w:val="24"/>
          <w:szCs w:val="24"/>
          <w:lang w:val="en-US"/>
        </w:rPr>
        <w:fldChar w:fldCharType="begin"/>
      </w:r>
      <w:r w:rsidRPr="00C9341D">
        <w:rPr>
          <w:rFonts w:ascii="Times New Roman" w:hAnsi="Times New Roman" w:cs="Times New Roman"/>
          <w:sz w:val="24"/>
          <w:szCs w:val="24"/>
          <w:lang w:val="en-US"/>
        </w:rPr>
        <w:instrText xml:space="preserve"> REF _Ref119431196 \h </w:instrText>
      </w:r>
      <w:r w:rsidRPr="009F549F">
        <w:rPr>
          <w:rFonts w:ascii="Times New Roman" w:hAnsi="Times New Roman" w:cs="Times New Roman"/>
          <w:sz w:val="24"/>
          <w:szCs w:val="24"/>
          <w:lang w:val="en-US"/>
        </w:rPr>
        <w:instrText xml:space="preserve"> \* MERGEFORMAT </w:instrText>
      </w:r>
      <w:r w:rsidRPr="00C9341D">
        <w:rPr>
          <w:rFonts w:ascii="Times New Roman" w:hAnsi="Times New Roman" w:cs="Times New Roman"/>
          <w:sz w:val="24"/>
          <w:szCs w:val="24"/>
          <w:lang w:val="en-US"/>
        </w:rPr>
      </w:r>
      <w:r w:rsidRPr="00C9341D">
        <w:rPr>
          <w:rFonts w:ascii="Times New Roman" w:hAnsi="Times New Roman" w:cs="Times New Roman"/>
          <w:sz w:val="24"/>
          <w:szCs w:val="24"/>
          <w:lang w:val="en-US"/>
        </w:rPr>
        <w:fldChar w:fldCharType="separate"/>
      </w:r>
      <w:r w:rsidRPr="009F549F">
        <w:rPr>
          <w:rFonts w:ascii="Times New Roman" w:hAnsi="Times New Roman" w:cs="Times New Roman"/>
          <w:sz w:val="24"/>
          <w:szCs w:val="24"/>
        </w:rPr>
        <w:t>D</w:t>
      </w:r>
      <w:r w:rsidRPr="009F549F">
        <w:rPr>
          <w:rFonts w:ascii="Times New Roman" w:hAnsi="Times New Roman"/>
          <w:i/>
          <w:sz w:val="24"/>
        </w:rPr>
        <w:t>.  Government Equity: A New Land?</w:t>
      </w:r>
      <w:r w:rsidRPr="00C9341D">
        <w:rPr>
          <w:rFonts w:ascii="Times New Roman" w:hAnsi="Times New Roman" w:cs="Times New Roman"/>
          <w:sz w:val="24"/>
          <w:szCs w:val="24"/>
          <w:lang w:val="en-US"/>
        </w:rPr>
        <w:fldChar w:fldCharType="end"/>
      </w:r>
      <w:r w:rsidRPr="00C9341D">
        <w:rPr>
          <w:rFonts w:ascii="Times New Roman" w:hAnsi="Times New Roman" w:cs="Times New Roman"/>
          <w:sz w:val="24"/>
          <w:szCs w:val="24"/>
          <w:lang w:val="en-US"/>
        </w:rPr>
        <w:t>.</w:t>
      </w:r>
      <w:r w:rsidRPr="001A475C">
        <w:rPr>
          <w:rFonts w:ascii="Times New Roman" w:hAnsi="Times New Roman" w:cs="Times New Roman"/>
          <w:sz w:val="24"/>
          <w:szCs w:val="24"/>
          <w:lang w:val="en-US"/>
        </w:rPr>
        <w:t xml:space="preserve"> </w:t>
      </w:r>
    </w:p>
  </w:footnote>
  <w:footnote w:id="234">
    <w:p w14:paraId="5B0CB8EC" w14:textId="21BC12F1" w:rsidR="006E30B5" w:rsidRPr="009F549F" w:rsidRDefault="006E30B5">
      <w:pPr>
        <w:pStyle w:val="FootnoteText"/>
        <w:rPr>
          <w:rFonts w:ascii="Times New Roman" w:hAnsi="Times New Roman"/>
          <w:sz w:val="24"/>
          <w:lang w:val="en-US"/>
        </w:rPr>
      </w:pPr>
      <w:r w:rsidRPr="009F549F">
        <w:rPr>
          <w:rStyle w:val="FootnoteReference"/>
          <w:rFonts w:ascii="Times New Roman" w:hAnsi="Times New Roman"/>
          <w:sz w:val="24"/>
        </w:rPr>
        <w:footnoteRef/>
      </w:r>
      <w:r w:rsidRPr="00B12A30">
        <w:rPr>
          <w:rFonts w:ascii="Times New Roman" w:hAnsi="Times New Roman" w:cs="Times New Roman"/>
          <w:sz w:val="24"/>
          <w:szCs w:val="24"/>
        </w:rPr>
        <w:t xml:space="preserve"> </w:t>
      </w:r>
      <w:r w:rsidRPr="00B12A30">
        <w:rPr>
          <w:rFonts w:ascii="Times New Roman" w:hAnsi="Times New Roman" w:cs="Times New Roman"/>
          <w:i/>
          <w:sz w:val="24"/>
          <w:szCs w:val="24"/>
          <w:lang w:val="en-US"/>
        </w:rPr>
        <w:t xml:space="preserve">See </w:t>
      </w:r>
      <w:r w:rsidRPr="00B12A30">
        <w:rPr>
          <w:rFonts w:ascii="Times New Roman" w:hAnsi="Times New Roman" w:cs="Times New Roman"/>
          <w:sz w:val="24"/>
          <w:szCs w:val="24"/>
          <w:lang w:val="en-US"/>
        </w:rPr>
        <w:t xml:space="preserve">Part </w:t>
      </w:r>
      <w:r w:rsidRPr="00601BD6">
        <w:rPr>
          <w:rFonts w:ascii="Times New Roman" w:hAnsi="Times New Roman" w:cs="Times New Roman"/>
          <w:sz w:val="24"/>
          <w:szCs w:val="24"/>
          <w:lang w:val="en-US"/>
        </w:rPr>
        <w:fldChar w:fldCharType="begin"/>
      </w:r>
      <w:r w:rsidRPr="00601BD6">
        <w:rPr>
          <w:rFonts w:ascii="Times New Roman" w:hAnsi="Times New Roman" w:cs="Times New Roman"/>
          <w:sz w:val="24"/>
          <w:szCs w:val="24"/>
          <w:lang w:val="en-US"/>
        </w:rPr>
        <w:instrText xml:space="preserve"> REF _Ref119431300 \h </w:instrText>
      </w:r>
      <w:r w:rsidRPr="002E5D89">
        <w:rPr>
          <w:rFonts w:ascii="Times New Roman" w:hAnsi="Times New Roman" w:cs="Times New Roman"/>
          <w:sz w:val="24"/>
          <w:szCs w:val="24"/>
          <w:lang w:val="en-US"/>
        </w:rPr>
        <w:instrText xml:space="preserve"> \* MERGEFORMAT </w:instrText>
      </w:r>
      <w:r w:rsidRPr="00601BD6">
        <w:rPr>
          <w:rFonts w:ascii="Times New Roman" w:hAnsi="Times New Roman" w:cs="Times New Roman"/>
          <w:sz w:val="24"/>
          <w:szCs w:val="24"/>
          <w:lang w:val="en-US"/>
        </w:rPr>
      </w:r>
      <w:r w:rsidRPr="00601BD6">
        <w:rPr>
          <w:rFonts w:ascii="Times New Roman" w:hAnsi="Times New Roman" w:cs="Times New Roman"/>
          <w:sz w:val="24"/>
          <w:szCs w:val="24"/>
          <w:lang w:val="en-US"/>
        </w:rPr>
        <w:fldChar w:fldCharType="separate"/>
      </w:r>
      <w:r w:rsidRPr="009F549F">
        <w:rPr>
          <w:rFonts w:ascii="Times New Roman" w:hAnsi="Times New Roman" w:cs="Times New Roman"/>
          <w:sz w:val="24"/>
          <w:szCs w:val="24"/>
        </w:rPr>
        <w:t xml:space="preserve">F.   </w:t>
      </w:r>
      <w:r w:rsidRPr="009F549F">
        <w:rPr>
          <w:rFonts w:ascii="Times New Roman" w:hAnsi="Times New Roman"/>
          <w:i/>
          <w:sz w:val="24"/>
        </w:rPr>
        <w:t>Key Tools Already in Use: Separated Accounts, Information</w:t>
      </w:r>
      <w:r>
        <w:rPr>
          <w:rFonts w:ascii="Times New Roman" w:hAnsi="Times New Roman" w:cs="Times New Roman"/>
          <w:i/>
          <w:sz w:val="24"/>
          <w:szCs w:val="24"/>
        </w:rPr>
        <w:t>-</w:t>
      </w:r>
      <w:r w:rsidRPr="009F549F">
        <w:rPr>
          <w:rFonts w:ascii="Times New Roman" w:hAnsi="Times New Roman"/>
          <w:i/>
          <w:sz w:val="24"/>
        </w:rPr>
        <w:t>Generating Rules, and the Problem of Identifying Withdrawals</w:t>
      </w:r>
      <w:r w:rsidRPr="00601BD6">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w:t>
      </w:r>
      <w:r w:rsidRPr="006D74E7">
        <w:rPr>
          <w:rFonts w:ascii="Times New Roman" w:hAnsi="Times New Roman" w:cs="Times New Roman"/>
          <w:sz w:val="24"/>
          <w:szCs w:val="24"/>
          <w:lang w:val="en-US"/>
        </w:rPr>
        <w:t xml:space="preserve">&amp; Part </w:t>
      </w:r>
      <w:r w:rsidRPr="00601BD6">
        <w:rPr>
          <w:rFonts w:ascii="Times New Roman" w:hAnsi="Times New Roman" w:cs="Times New Roman"/>
          <w:sz w:val="24"/>
          <w:szCs w:val="24"/>
          <w:lang w:val="en-US"/>
        </w:rPr>
        <w:fldChar w:fldCharType="begin"/>
      </w:r>
      <w:r w:rsidRPr="00601BD6">
        <w:rPr>
          <w:rFonts w:ascii="Times New Roman" w:hAnsi="Times New Roman" w:cs="Times New Roman"/>
          <w:sz w:val="24"/>
          <w:szCs w:val="24"/>
          <w:lang w:val="en-US"/>
        </w:rPr>
        <w:instrText xml:space="preserve"> REF _Ref119431504 \h </w:instrText>
      </w:r>
      <w:r w:rsidRPr="009F549F">
        <w:rPr>
          <w:rFonts w:ascii="Times New Roman" w:hAnsi="Times New Roman" w:cs="Times New Roman"/>
          <w:sz w:val="24"/>
          <w:szCs w:val="24"/>
          <w:lang w:val="en-US"/>
        </w:rPr>
        <w:instrText xml:space="preserve"> \* MERGEFORMAT </w:instrText>
      </w:r>
      <w:r w:rsidRPr="00601BD6">
        <w:rPr>
          <w:rFonts w:ascii="Times New Roman" w:hAnsi="Times New Roman" w:cs="Times New Roman"/>
          <w:sz w:val="24"/>
          <w:szCs w:val="24"/>
          <w:lang w:val="en-US"/>
        </w:rPr>
      </w:r>
      <w:r w:rsidRPr="00601BD6">
        <w:rPr>
          <w:rFonts w:ascii="Times New Roman" w:hAnsi="Times New Roman" w:cs="Times New Roman"/>
          <w:sz w:val="24"/>
          <w:szCs w:val="24"/>
          <w:lang w:val="en-US"/>
        </w:rPr>
        <w:fldChar w:fldCharType="separate"/>
      </w:r>
      <w:r w:rsidRPr="009F549F">
        <w:rPr>
          <w:rFonts w:ascii="Times New Roman" w:hAnsi="Times New Roman" w:cs="Times New Roman"/>
          <w:sz w:val="24"/>
          <w:szCs w:val="24"/>
        </w:rPr>
        <w:t xml:space="preserve">C. </w:t>
      </w:r>
      <w:r w:rsidRPr="009F549F">
        <w:rPr>
          <w:rFonts w:ascii="Times New Roman" w:hAnsi="Times New Roman"/>
          <w:i/>
          <w:sz w:val="24"/>
        </w:rPr>
        <w:t>Contributions, Partial Withdrawals, and Deemed Withdrawals</w:t>
      </w:r>
      <w:r w:rsidRPr="00601BD6">
        <w:rPr>
          <w:rFonts w:ascii="Times New Roman" w:hAnsi="Times New Roman" w:cs="Times New Roman"/>
          <w:sz w:val="24"/>
          <w:szCs w:val="24"/>
          <w:lang w:val="en-US"/>
        </w:rPr>
        <w:fldChar w:fldCharType="end"/>
      </w:r>
      <w:r w:rsidRPr="00601BD6">
        <w:rPr>
          <w:rFonts w:ascii="Times New Roman" w:hAnsi="Times New Roman" w:cs="Times New Roman"/>
          <w:sz w:val="24"/>
          <w:szCs w:val="24"/>
          <w:lang w:val="en-US"/>
        </w:rPr>
        <w:t>–</w:t>
      </w:r>
      <w:r w:rsidRPr="00601BD6">
        <w:rPr>
          <w:rFonts w:ascii="Times New Roman" w:hAnsi="Times New Roman" w:cs="Times New Roman"/>
          <w:sz w:val="24"/>
          <w:szCs w:val="24"/>
          <w:lang w:val="en-US"/>
        </w:rPr>
        <w:fldChar w:fldCharType="begin"/>
      </w:r>
      <w:r w:rsidRPr="00601BD6">
        <w:rPr>
          <w:rFonts w:ascii="Times New Roman" w:hAnsi="Times New Roman" w:cs="Times New Roman"/>
          <w:sz w:val="24"/>
          <w:szCs w:val="24"/>
          <w:lang w:val="en-US"/>
        </w:rPr>
        <w:instrText xml:space="preserve"> REF _Ref119431576 \h </w:instrText>
      </w:r>
      <w:r w:rsidRPr="009F549F">
        <w:rPr>
          <w:rFonts w:ascii="Times New Roman" w:hAnsi="Times New Roman" w:cs="Times New Roman"/>
          <w:sz w:val="24"/>
          <w:szCs w:val="24"/>
          <w:lang w:val="en-US"/>
        </w:rPr>
        <w:instrText xml:space="preserve"> \* MERGEFORMAT </w:instrText>
      </w:r>
      <w:r w:rsidRPr="00601BD6">
        <w:rPr>
          <w:rFonts w:ascii="Times New Roman" w:hAnsi="Times New Roman" w:cs="Times New Roman"/>
          <w:sz w:val="24"/>
          <w:szCs w:val="24"/>
          <w:lang w:val="en-US"/>
        </w:rPr>
      </w:r>
      <w:r w:rsidRPr="00601BD6">
        <w:rPr>
          <w:rFonts w:ascii="Times New Roman" w:hAnsi="Times New Roman" w:cs="Times New Roman"/>
          <w:sz w:val="24"/>
          <w:szCs w:val="24"/>
          <w:lang w:val="en-US"/>
        </w:rPr>
        <w:fldChar w:fldCharType="separate"/>
      </w:r>
      <w:r w:rsidRPr="009F549F">
        <w:rPr>
          <w:rFonts w:ascii="Times New Roman" w:hAnsi="Times New Roman" w:cs="Times New Roman"/>
          <w:sz w:val="24"/>
          <w:szCs w:val="24"/>
        </w:rPr>
        <w:t xml:space="preserve">D. </w:t>
      </w:r>
      <w:r w:rsidRPr="009F549F">
        <w:rPr>
          <w:rFonts w:ascii="Times New Roman" w:hAnsi="Times New Roman"/>
          <w:i/>
          <w:sz w:val="24"/>
        </w:rPr>
        <w:t>The Take-</w:t>
      </w:r>
      <w:r>
        <w:rPr>
          <w:rFonts w:ascii="Times New Roman" w:hAnsi="Times New Roman" w:cs="Times New Roman"/>
          <w:i/>
          <w:sz w:val="24"/>
          <w:szCs w:val="24"/>
        </w:rPr>
        <w:t>I</w:t>
      </w:r>
      <w:r w:rsidRPr="009F549F">
        <w:rPr>
          <w:rFonts w:ascii="Times New Roman" w:hAnsi="Times New Roman"/>
          <w:i/>
          <w:sz w:val="24"/>
        </w:rPr>
        <w:t>t-or-Leave-</w:t>
      </w:r>
      <w:r>
        <w:rPr>
          <w:rFonts w:ascii="Times New Roman" w:hAnsi="Times New Roman" w:cs="Times New Roman"/>
          <w:i/>
          <w:sz w:val="24"/>
          <w:szCs w:val="24"/>
        </w:rPr>
        <w:t>I</w:t>
      </w:r>
      <w:r w:rsidRPr="009F549F">
        <w:rPr>
          <w:rFonts w:ascii="Times New Roman" w:hAnsi="Times New Roman"/>
          <w:i/>
          <w:sz w:val="24"/>
        </w:rPr>
        <w:t>t Alternative Valuation Mechanism</w:t>
      </w:r>
      <w:r w:rsidRPr="00601BD6">
        <w:rPr>
          <w:rFonts w:ascii="Times New Roman" w:hAnsi="Times New Roman" w:cs="Times New Roman"/>
          <w:sz w:val="24"/>
          <w:szCs w:val="24"/>
          <w:lang w:val="en-US"/>
        </w:rPr>
        <w:fldChar w:fldCharType="end"/>
      </w:r>
      <w:r w:rsidRPr="00601BD6">
        <w:rPr>
          <w:rFonts w:ascii="Times New Roman" w:hAnsi="Times New Roman" w:cs="Times New Roman"/>
          <w:sz w:val="24"/>
          <w:szCs w:val="24"/>
          <w:lang w:val="en-US"/>
        </w:rPr>
        <w:t>.</w:t>
      </w:r>
    </w:p>
  </w:footnote>
  <w:footnote w:id="235">
    <w:p w14:paraId="2B6E1D88" w14:textId="787692F1" w:rsidR="006E30B5" w:rsidRPr="009F549F" w:rsidRDefault="006E30B5" w:rsidP="009F549F">
      <w:pPr>
        <w:pBdr>
          <w:top w:val="nil"/>
          <w:left w:val="nil"/>
          <w:bottom w:val="nil"/>
          <w:right w:val="nil"/>
          <w:between w:val="nil"/>
        </w:pBdr>
        <w:rPr>
          <w:rFonts w:eastAsia="Century Schoolbook"/>
          <w:color w:val="000000"/>
        </w:rPr>
      </w:pPr>
      <w:r w:rsidRPr="009F549F">
        <w:rPr>
          <w:vertAlign w:val="superscript"/>
        </w:rPr>
        <w:footnoteRef/>
      </w:r>
      <w:r w:rsidRPr="009F549F">
        <w:rPr>
          <w:rFonts w:eastAsia="Century Schoolbook"/>
          <w:color w:val="000000"/>
        </w:rPr>
        <w:t xml:space="preserve"> </w:t>
      </w:r>
      <w:proofErr w:type="spellStart"/>
      <w:r w:rsidRPr="009F549F">
        <w:rPr>
          <w:rFonts w:eastAsia="Century Schoolbook"/>
          <w:color w:val="000000"/>
        </w:rPr>
        <w:t>Glogower</w:t>
      </w:r>
      <w:proofErr w:type="spellEnd"/>
      <w:r w:rsidRPr="009F549F">
        <w:rPr>
          <w:rFonts w:eastAsia="Century Schoolbook"/>
          <w:color w:val="000000"/>
        </w:rPr>
        <w:t xml:space="preserve">, </w:t>
      </w:r>
      <w:r w:rsidRPr="009F549F">
        <w:rPr>
          <w:rFonts w:eastAsia="Century Schoolbook"/>
          <w:i/>
          <w:color w:val="000000"/>
        </w:rPr>
        <w:t xml:space="preserve">supra </w:t>
      </w:r>
      <w:r w:rsidRPr="009F549F">
        <w:rPr>
          <w:rFonts w:eastAsia="Century Schoolbook"/>
          <w:color w:val="000000"/>
        </w:rPr>
        <w:t xml:space="preserve">note </w:t>
      </w:r>
      <w:r w:rsidRPr="00036097">
        <w:rPr>
          <w:rFonts w:eastAsia="Century Schoolbook"/>
          <w:color w:val="000000"/>
        </w:rPr>
        <w:fldChar w:fldCharType="begin"/>
      </w:r>
      <w:r w:rsidRPr="00036097">
        <w:rPr>
          <w:rFonts w:eastAsia="Century Schoolbook"/>
          <w:color w:val="000000"/>
        </w:rPr>
        <w:instrText xml:space="preserve"> NOTEREF _Ref115603608 \h  \* MERGEFORMAT </w:instrText>
      </w:r>
      <w:r w:rsidRPr="00036097">
        <w:rPr>
          <w:rFonts w:eastAsia="Century Schoolbook"/>
          <w:color w:val="000000"/>
        </w:rPr>
      </w:r>
      <w:r w:rsidRPr="00036097">
        <w:rPr>
          <w:rFonts w:eastAsia="Century Schoolbook"/>
          <w:color w:val="000000"/>
        </w:rPr>
        <w:fldChar w:fldCharType="separate"/>
      </w:r>
      <w:r>
        <w:rPr>
          <w:rFonts w:eastAsia="Century Schoolbook"/>
          <w:color w:val="000000"/>
        </w:rPr>
        <w:t>64</w:t>
      </w:r>
      <w:r w:rsidRPr="00036097">
        <w:rPr>
          <w:rFonts w:eastAsia="Century Schoolbook"/>
          <w:color w:val="000000"/>
        </w:rPr>
        <w:fldChar w:fldCharType="end"/>
      </w:r>
      <w:r w:rsidRPr="00036097">
        <w:rPr>
          <w:rFonts w:eastAsia="Century Schoolbook"/>
          <w:color w:val="000000"/>
        </w:rPr>
        <w:t>,</w:t>
      </w:r>
      <w:r w:rsidRPr="009F549F">
        <w:rPr>
          <w:rFonts w:eastAsia="Century Schoolbook"/>
          <w:color w:val="000000"/>
        </w:rPr>
        <w:t xml:space="preserve"> 138; </w:t>
      </w:r>
      <w:r w:rsidRPr="009F549F">
        <w:rPr>
          <w:rFonts w:eastAsia="Century Schoolbook"/>
          <w:i/>
          <w:color w:val="000000"/>
        </w:rPr>
        <w:t>see also</w:t>
      </w:r>
      <w:r w:rsidRPr="009F549F">
        <w:rPr>
          <w:rFonts w:eastAsia="Century Schoolbook"/>
          <w:color w:val="000000"/>
        </w:rPr>
        <w:t xml:space="preserve"> Schenk, </w:t>
      </w:r>
      <w:r w:rsidRPr="009F549F">
        <w:rPr>
          <w:rFonts w:eastAsia="Century Schoolbook"/>
          <w:i/>
          <w:color w:val="000000"/>
        </w:rPr>
        <w:t xml:space="preserve">supra </w:t>
      </w:r>
      <w:r w:rsidRPr="009F549F">
        <w:rPr>
          <w:rFonts w:eastAsia="Century Schoolbook"/>
          <w:color w:val="000000"/>
        </w:rPr>
        <w:t xml:space="preserve">note </w:t>
      </w:r>
      <w:r w:rsidRPr="00036097">
        <w:rPr>
          <w:rFonts w:eastAsia="Century Schoolbook"/>
          <w:color w:val="000000"/>
        </w:rPr>
        <w:fldChar w:fldCharType="begin"/>
      </w:r>
      <w:r w:rsidRPr="00036097">
        <w:rPr>
          <w:rFonts w:eastAsia="Century Schoolbook"/>
          <w:color w:val="000000"/>
        </w:rPr>
        <w:instrText xml:space="preserve"> NOTEREF _Ref115604338 \h  \* MERGEFORMAT </w:instrText>
      </w:r>
      <w:r w:rsidRPr="00036097">
        <w:rPr>
          <w:rFonts w:eastAsia="Century Schoolbook"/>
          <w:color w:val="000000"/>
        </w:rPr>
      </w:r>
      <w:r w:rsidRPr="00036097">
        <w:rPr>
          <w:rFonts w:eastAsia="Century Schoolbook"/>
          <w:color w:val="000000"/>
        </w:rPr>
        <w:fldChar w:fldCharType="separate"/>
      </w:r>
      <w:r>
        <w:rPr>
          <w:rFonts w:eastAsia="Century Schoolbook"/>
          <w:color w:val="000000"/>
        </w:rPr>
        <w:t>53</w:t>
      </w:r>
      <w:r w:rsidRPr="00036097">
        <w:rPr>
          <w:rFonts w:eastAsia="Century Schoolbook"/>
          <w:color w:val="000000"/>
        </w:rPr>
        <w:fldChar w:fldCharType="end"/>
      </w:r>
      <w:r w:rsidRPr="00036097">
        <w:rPr>
          <w:rFonts w:eastAsia="Century Schoolbook"/>
          <w:color w:val="000000"/>
        </w:rPr>
        <w:t>, 546</w:t>
      </w:r>
      <w:r w:rsidRPr="00036097">
        <w:rPr>
          <w:rFonts w:eastAsia="Century Schoolbook"/>
          <w:color w:val="000000"/>
        </w:rPr>
        <w:softHyphen/>
        <w:t>–47 (“[Land] also</w:t>
      </w:r>
      <w:r w:rsidRPr="009F549F">
        <w:rPr>
          <w:rFonts w:eastAsia="Century Schoolbook"/>
          <w:color w:val="000000"/>
        </w:rPr>
        <w:t xml:space="preserve"> acknowledges his proposal is schematic and does not deal with some extremely difficult issues, which undoubtedly would add to the complexity</w:t>
      </w:r>
      <w:r w:rsidRPr="007D6E99">
        <w:rPr>
          <w:rFonts w:ascii="Century Schoolbook" w:eastAsia="Century Schoolbook" w:hAnsi="Century Schoolbook" w:cs="Century Schoolbook"/>
          <w:color w:val="000000"/>
          <w:sz w:val="20"/>
          <w:szCs w:val="20"/>
        </w:rPr>
        <w:t>.</w:t>
      </w:r>
      <w:r w:rsidRPr="009F549F">
        <w:rPr>
          <w:rFonts w:eastAsia="Century Schoolbook"/>
          <w:color w:val="000000"/>
        </w:rPr>
        <w:t xml:space="preserve"> . . . new and vastly more objectionable complexities would be introduced, including frequent valuation and extremely complex calculations</w:t>
      </w:r>
      <w:r w:rsidRPr="007D6E99">
        <w:rPr>
          <w:rFonts w:ascii="Century Schoolbook" w:eastAsia="Century Schoolbook" w:hAnsi="Century Schoolbook" w:cs="Century Schoolbook"/>
          <w:color w:val="000000"/>
          <w:sz w:val="20"/>
          <w:szCs w:val="20"/>
        </w:rPr>
        <w:t>.")</w:t>
      </w:r>
      <w:r>
        <w:rPr>
          <w:rFonts w:ascii="Century Schoolbook" w:eastAsia="Century Schoolbook" w:hAnsi="Century Schoolbook" w:cs="Century Schoolbook"/>
          <w:color w:val="000000"/>
          <w:sz w:val="20"/>
          <w:szCs w:val="20"/>
        </w:rPr>
        <w:t xml:space="preserve">. </w:t>
      </w:r>
      <w:r>
        <w:rPr>
          <w:rFonts w:ascii="Century Schoolbook" w:eastAsia="Century Schoolbook" w:hAnsi="Century Schoolbook" w:cs="Century Schoolbook"/>
          <w:i/>
          <w:iCs/>
          <w:color w:val="000000"/>
          <w:sz w:val="20"/>
          <w:szCs w:val="20"/>
        </w:rPr>
        <w:t>See also</w:t>
      </w:r>
      <w:r>
        <w:rPr>
          <w:rFonts w:ascii="Century Schoolbook" w:eastAsia="Century Schoolbook" w:hAnsi="Century Schoolbook" w:cs="Century Schoolbook"/>
          <w:color w:val="000000"/>
          <w:sz w:val="20"/>
          <w:szCs w:val="20"/>
        </w:rPr>
        <w:t xml:space="preserve"> the Technical Appendix, </w:t>
      </w:r>
      <w:r>
        <w:rPr>
          <w:rFonts w:ascii="Century Schoolbook" w:eastAsia="Century Schoolbook" w:hAnsi="Century Schoolbook" w:cs="Century Schoolbook"/>
          <w:i/>
          <w:iCs/>
          <w:color w:val="000000"/>
          <w:sz w:val="20"/>
          <w:szCs w:val="20"/>
        </w:rPr>
        <w:t>infra</w:t>
      </w:r>
      <w:r>
        <w:rPr>
          <w:rFonts w:ascii="Century Schoolbook" w:eastAsia="Century Schoolbook" w:hAnsi="Century Schoolbook" w:cs="Century Schoolbook"/>
          <w:color w:val="000000"/>
          <w:sz w:val="20"/>
          <w:szCs w:val="20"/>
        </w:rPr>
        <w:t>, for further discussion</w:t>
      </w:r>
      <w:r w:rsidRPr="00036097">
        <w:rPr>
          <w:rFonts w:eastAsia="Century Schoolbook"/>
          <w:color w:val="000000"/>
        </w:rPr>
        <w:t>.</w:t>
      </w:r>
    </w:p>
  </w:footnote>
  <w:footnote w:id="236">
    <w:p w14:paraId="25DEF916" w14:textId="4F6C1450" w:rsidR="006E30B5" w:rsidRPr="009F549F" w:rsidRDefault="006E30B5">
      <w:pPr>
        <w:pStyle w:val="FootnoteText"/>
        <w:rPr>
          <w:rFonts w:ascii="Times New Roman" w:hAnsi="Times New Roman"/>
          <w:sz w:val="24"/>
          <w:lang w:val="en-US"/>
        </w:rPr>
      </w:pPr>
      <w:r w:rsidRPr="009F549F">
        <w:rPr>
          <w:rStyle w:val="FootnoteReference"/>
          <w:rFonts w:ascii="Times New Roman" w:hAnsi="Times New Roman"/>
          <w:sz w:val="24"/>
        </w:rPr>
        <w:footnoteRef/>
      </w:r>
      <w:r w:rsidRPr="009F549F">
        <w:rPr>
          <w:rFonts w:ascii="Times New Roman" w:hAnsi="Times New Roman"/>
          <w:sz w:val="24"/>
        </w:rPr>
        <w:t xml:space="preserve"> </w:t>
      </w:r>
      <w:r w:rsidRPr="009F549F">
        <w:rPr>
          <w:rFonts w:ascii="Times New Roman" w:hAnsi="Times New Roman"/>
          <w:i/>
          <w:sz w:val="24"/>
          <w:lang w:val="en-US"/>
        </w:rPr>
        <w:t>See</w:t>
      </w:r>
      <w:r w:rsidRPr="009F549F">
        <w:rPr>
          <w:rFonts w:ascii="Times New Roman" w:hAnsi="Times New Roman"/>
          <w:sz w:val="24"/>
          <w:lang w:val="en-US"/>
        </w:rPr>
        <w:t xml:space="preserve"> Part </w:t>
      </w:r>
      <w:r w:rsidRPr="008C610C">
        <w:rPr>
          <w:rFonts w:ascii="Times New Roman" w:hAnsi="Times New Roman" w:cs="Times New Roman"/>
          <w:sz w:val="24"/>
          <w:szCs w:val="24"/>
          <w:lang w:val="en-US"/>
        </w:rPr>
        <w:fldChar w:fldCharType="begin"/>
      </w:r>
      <w:r w:rsidRPr="008C610C">
        <w:rPr>
          <w:rFonts w:ascii="Times New Roman" w:hAnsi="Times New Roman" w:cs="Times New Roman"/>
          <w:sz w:val="24"/>
          <w:szCs w:val="24"/>
          <w:lang w:val="en-US"/>
        </w:rPr>
        <w:instrText xml:space="preserve"> REF _Ref119431677 \h </w:instrText>
      </w:r>
      <w:r w:rsidRPr="009F549F">
        <w:rPr>
          <w:rFonts w:ascii="Times New Roman" w:hAnsi="Times New Roman" w:cs="Times New Roman"/>
          <w:sz w:val="24"/>
          <w:szCs w:val="24"/>
          <w:lang w:val="en-US"/>
        </w:rPr>
        <w:instrText xml:space="preserve"> \* MERGEFORMAT </w:instrText>
      </w:r>
      <w:r w:rsidRPr="008C610C">
        <w:rPr>
          <w:rFonts w:ascii="Times New Roman" w:hAnsi="Times New Roman" w:cs="Times New Roman"/>
          <w:sz w:val="24"/>
          <w:szCs w:val="24"/>
          <w:lang w:val="en-US"/>
        </w:rPr>
      </w:r>
      <w:r w:rsidRPr="008C610C">
        <w:rPr>
          <w:rFonts w:ascii="Times New Roman" w:hAnsi="Times New Roman" w:cs="Times New Roman"/>
          <w:sz w:val="24"/>
          <w:szCs w:val="24"/>
          <w:lang w:val="en-US"/>
        </w:rPr>
        <w:fldChar w:fldCharType="separate"/>
      </w:r>
      <w:r w:rsidRPr="009F549F">
        <w:rPr>
          <w:rFonts w:ascii="Times New Roman" w:hAnsi="Times New Roman" w:cs="Times New Roman"/>
          <w:sz w:val="24"/>
          <w:szCs w:val="24"/>
        </w:rPr>
        <w:t xml:space="preserve">E.       </w:t>
      </w:r>
      <w:r w:rsidRPr="009F549F">
        <w:rPr>
          <w:rFonts w:ascii="Times New Roman" w:hAnsi="Times New Roman"/>
          <w:i/>
          <w:sz w:val="24"/>
        </w:rPr>
        <w:t>In-</w:t>
      </w:r>
      <w:r>
        <w:rPr>
          <w:rFonts w:ascii="Times New Roman" w:hAnsi="Times New Roman" w:cs="Times New Roman"/>
          <w:i/>
          <w:sz w:val="24"/>
          <w:szCs w:val="24"/>
        </w:rPr>
        <w:t>K</w:t>
      </w:r>
      <w:r w:rsidRPr="009F549F">
        <w:rPr>
          <w:rFonts w:ascii="Times New Roman" w:hAnsi="Times New Roman"/>
          <w:i/>
          <w:sz w:val="24"/>
        </w:rPr>
        <w:t xml:space="preserve">ind Payments </w:t>
      </w:r>
      <w:r>
        <w:rPr>
          <w:rFonts w:ascii="Times New Roman" w:hAnsi="Times New Roman" w:cs="Times New Roman"/>
          <w:i/>
          <w:sz w:val="24"/>
          <w:szCs w:val="24"/>
        </w:rPr>
        <w:t>A</w:t>
      </w:r>
      <w:r w:rsidRPr="009F549F">
        <w:rPr>
          <w:rFonts w:ascii="Times New Roman" w:hAnsi="Times New Roman"/>
          <w:i/>
          <w:sz w:val="24"/>
        </w:rPr>
        <w:t>re Not Sufficiently Kind</w:t>
      </w:r>
      <w:r w:rsidRPr="008C610C">
        <w:rPr>
          <w:rFonts w:ascii="Times New Roman" w:hAnsi="Times New Roman" w:cs="Times New Roman"/>
          <w:sz w:val="24"/>
          <w:szCs w:val="24"/>
          <w:lang w:val="en-US"/>
        </w:rPr>
        <w:fldChar w:fldCharType="end"/>
      </w:r>
      <w:r w:rsidRPr="008C610C">
        <w:rPr>
          <w:rFonts w:ascii="Times New Roman" w:hAnsi="Times New Roman" w:cs="Times New Roman"/>
          <w:sz w:val="24"/>
          <w:szCs w:val="24"/>
          <w:lang w:val="en-US"/>
        </w:rPr>
        <w:t>.</w:t>
      </w:r>
    </w:p>
  </w:footnote>
  <w:footnote w:id="237">
    <w:p w14:paraId="3A6FC0E0" w14:textId="12208080" w:rsidR="006E30B5" w:rsidRPr="009F549F" w:rsidRDefault="006E30B5">
      <w:pPr>
        <w:pBdr>
          <w:top w:val="nil"/>
          <w:left w:val="nil"/>
          <w:bottom w:val="nil"/>
          <w:right w:val="nil"/>
          <w:between w:val="nil"/>
        </w:pBdr>
        <w:rPr>
          <w:rFonts w:eastAsia="Century Schoolbook"/>
          <w:color w:val="000000"/>
        </w:rPr>
      </w:pPr>
      <w:r w:rsidRPr="009F549F">
        <w:rPr>
          <w:vertAlign w:val="superscript"/>
        </w:rPr>
        <w:footnoteRef/>
      </w:r>
      <w:r w:rsidRPr="009F549F">
        <w:rPr>
          <w:rFonts w:eastAsia="Century Schoolbook"/>
          <w:color w:val="000000"/>
        </w:rPr>
        <w:t xml:space="preserve"> Bill </w:t>
      </w:r>
      <w:proofErr w:type="spellStart"/>
      <w:r w:rsidRPr="009F549F">
        <w:rPr>
          <w:rFonts w:eastAsia="Century Schoolbook"/>
          <w:color w:val="000000"/>
        </w:rPr>
        <w:t>Heniff</w:t>
      </w:r>
      <w:proofErr w:type="spellEnd"/>
      <w:r w:rsidRPr="009F549F">
        <w:rPr>
          <w:rFonts w:eastAsia="Century Schoolbook"/>
          <w:color w:val="000000"/>
        </w:rPr>
        <w:t xml:space="preserve"> Jr., </w:t>
      </w:r>
      <w:r w:rsidRPr="009F549F">
        <w:rPr>
          <w:rFonts w:eastAsia="Century Schoolbook"/>
          <w:smallCaps/>
          <w:color w:val="000000"/>
        </w:rPr>
        <w:t xml:space="preserve">Cong. </w:t>
      </w:r>
      <w:proofErr w:type="spellStart"/>
      <w:r w:rsidRPr="009F549F">
        <w:rPr>
          <w:rFonts w:eastAsia="Century Schoolbook"/>
          <w:smallCaps/>
          <w:color w:val="000000"/>
        </w:rPr>
        <w:t>Rsch</w:t>
      </w:r>
      <w:proofErr w:type="spellEnd"/>
      <w:r w:rsidRPr="009F549F">
        <w:rPr>
          <w:rFonts w:eastAsia="Century Schoolbook"/>
          <w:smallCaps/>
          <w:color w:val="000000"/>
        </w:rPr>
        <w:t>. Serv.</w:t>
      </w:r>
      <w:r w:rsidRPr="009F549F">
        <w:rPr>
          <w:rFonts w:eastAsia="Century Schoolbook"/>
          <w:color w:val="000000"/>
        </w:rPr>
        <w:t xml:space="preserve">, RL30862, </w:t>
      </w:r>
      <w:r w:rsidRPr="009F549F">
        <w:rPr>
          <w:rFonts w:eastAsia="Century Schoolbook"/>
          <w:smallCaps/>
          <w:color w:val="000000"/>
        </w:rPr>
        <w:t>The Budget Reconciliation Process: The Senate’s “Byrd Rule”</w:t>
      </w:r>
      <w:r w:rsidRPr="009F549F">
        <w:rPr>
          <w:rFonts w:eastAsia="Century Schoolbook"/>
          <w:color w:val="000000"/>
        </w:rPr>
        <w:t xml:space="preserve"> 1–4 (2021).</w:t>
      </w:r>
      <w:r w:rsidRPr="00036097">
        <w:rPr>
          <w:rFonts w:eastAsia="Century Schoolbook"/>
          <w:color w:val="000000"/>
        </w:rPr>
        <w:t xml:space="preserve"> </w:t>
      </w:r>
    </w:p>
  </w:footnote>
  <w:footnote w:id="238">
    <w:p w14:paraId="6C471C60" w14:textId="00542519" w:rsidR="006E30B5" w:rsidRPr="009F549F" w:rsidRDefault="006E30B5">
      <w:pPr>
        <w:pBdr>
          <w:top w:val="nil"/>
          <w:left w:val="nil"/>
          <w:bottom w:val="nil"/>
          <w:right w:val="nil"/>
          <w:between w:val="nil"/>
        </w:pBdr>
        <w:rPr>
          <w:rFonts w:eastAsia="Century Schoolbook"/>
          <w:color w:val="000000"/>
        </w:rPr>
      </w:pPr>
      <w:r w:rsidRPr="009F549F">
        <w:rPr>
          <w:vertAlign w:val="superscript"/>
        </w:rPr>
        <w:footnoteRef/>
      </w:r>
      <w:r w:rsidRPr="009F549F">
        <w:rPr>
          <w:rFonts w:eastAsia="Century Schoolbook"/>
          <w:color w:val="000000"/>
        </w:rPr>
        <w:t xml:space="preserve"> Alan J. Auerbach, </w:t>
      </w:r>
      <w:r w:rsidRPr="009F549F">
        <w:rPr>
          <w:rFonts w:eastAsia="Century Schoolbook"/>
          <w:i/>
          <w:color w:val="000000"/>
        </w:rPr>
        <w:t>Budget Windows, Sunsets, and Fiscal Control</w:t>
      </w:r>
      <w:r w:rsidRPr="009F549F">
        <w:rPr>
          <w:rFonts w:eastAsia="Century Schoolbook"/>
          <w:color w:val="000000"/>
        </w:rPr>
        <w:t>, 90 J</w:t>
      </w:r>
      <w:r w:rsidRPr="009F549F">
        <w:rPr>
          <w:rFonts w:eastAsia="Century Schoolbook"/>
          <w:smallCaps/>
          <w:color w:val="000000"/>
        </w:rPr>
        <w:t>. Pub. Econ</w:t>
      </w:r>
      <w:r w:rsidRPr="009F549F">
        <w:rPr>
          <w:rFonts w:eastAsia="Century Schoolbook"/>
          <w:color w:val="000000"/>
        </w:rPr>
        <w:t xml:space="preserve">. 87, 88 (2006); Douglas W. </w:t>
      </w:r>
      <w:r w:rsidRPr="009F549F">
        <w:rPr>
          <w:rFonts w:eastAsia="Century Schoolbook"/>
          <w:color w:val="000000"/>
        </w:rPr>
        <w:t xml:space="preserve">Elmendorf, </w:t>
      </w:r>
      <w:r w:rsidRPr="009F549F">
        <w:rPr>
          <w:rFonts w:eastAsia="Century Schoolbook"/>
          <w:i/>
          <w:color w:val="000000"/>
        </w:rPr>
        <w:t xml:space="preserve">Dynamic Scoring: Why and How </w:t>
      </w:r>
      <w:r w:rsidRPr="00036097">
        <w:rPr>
          <w:rFonts w:eastAsia="Century Schoolbook"/>
          <w:i/>
          <w:color w:val="000000"/>
        </w:rPr>
        <w:t>To</w:t>
      </w:r>
      <w:r w:rsidRPr="009F549F">
        <w:rPr>
          <w:rFonts w:eastAsia="Century Schoolbook"/>
          <w:i/>
          <w:color w:val="000000"/>
        </w:rPr>
        <w:t xml:space="preserve"> Include Macroeconomic Effects in Budget Estimates for Legislative Proposals</w:t>
      </w:r>
      <w:r w:rsidRPr="009F549F">
        <w:rPr>
          <w:rFonts w:eastAsia="Century Schoolbook"/>
          <w:color w:val="000000"/>
        </w:rPr>
        <w:t xml:space="preserve">, </w:t>
      </w:r>
      <w:r w:rsidRPr="009F549F">
        <w:rPr>
          <w:rFonts w:eastAsia="Century Schoolbook"/>
          <w:smallCaps/>
          <w:color w:val="000000"/>
        </w:rPr>
        <w:t>Brookings Papers on Econ. Activity 91</w:t>
      </w:r>
      <w:r w:rsidRPr="009F549F">
        <w:rPr>
          <w:rFonts w:eastAsia="Century Schoolbook"/>
          <w:color w:val="000000"/>
        </w:rPr>
        <w:t>, 94–95 (2015).</w:t>
      </w:r>
      <w:r w:rsidRPr="00036097">
        <w:rPr>
          <w:rFonts w:eastAsia="Century Schoolbook"/>
          <w:color w:val="000000"/>
        </w:rPr>
        <w:t xml:space="preserve">  </w:t>
      </w:r>
    </w:p>
  </w:footnote>
  <w:footnote w:id="239">
    <w:p w14:paraId="7F188841" w14:textId="77777777" w:rsidR="006E30B5" w:rsidRPr="009F549F" w:rsidRDefault="006E30B5">
      <w:pPr>
        <w:pBdr>
          <w:top w:val="nil"/>
          <w:left w:val="nil"/>
          <w:bottom w:val="nil"/>
          <w:right w:val="nil"/>
          <w:between w:val="nil"/>
        </w:pBdr>
        <w:rPr>
          <w:rFonts w:eastAsia="Century Schoolbook"/>
          <w:color w:val="000000"/>
        </w:rPr>
      </w:pPr>
      <w:r w:rsidRPr="009F549F">
        <w:rPr>
          <w:vertAlign w:val="superscript"/>
        </w:rPr>
        <w:footnoteRef/>
      </w:r>
      <w:r w:rsidRPr="009F549F">
        <w:rPr>
          <w:rFonts w:eastAsia="Century Schoolbook"/>
          <w:color w:val="000000"/>
        </w:rPr>
        <w:t xml:space="preserve"> 2 U.S.C. § 661a(1), (5)(D).</w:t>
      </w:r>
      <w:r>
        <w:rPr>
          <w:rFonts w:ascii="Century Schoolbook" w:eastAsia="Century Schoolbook" w:hAnsi="Century Schoolbook" w:cs="Century Schoolbook"/>
          <w:color w:val="000000"/>
          <w:sz w:val="20"/>
          <w:szCs w:val="20"/>
        </w:rPr>
        <w:t xml:space="preserve"> </w:t>
      </w:r>
    </w:p>
  </w:footnote>
  <w:footnote w:id="240">
    <w:p w14:paraId="6B302FB4" w14:textId="77777777" w:rsidR="006E30B5" w:rsidRPr="009F549F" w:rsidRDefault="006E30B5">
      <w:pPr>
        <w:pBdr>
          <w:top w:val="nil"/>
          <w:left w:val="nil"/>
          <w:bottom w:val="nil"/>
          <w:right w:val="nil"/>
          <w:between w:val="nil"/>
        </w:pBdr>
        <w:rPr>
          <w:rFonts w:eastAsia="Century Schoolbook"/>
          <w:color w:val="000000"/>
        </w:rPr>
      </w:pPr>
      <w:r w:rsidRPr="009F549F">
        <w:rPr>
          <w:vertAlign w:val="superscript"/>
        </w:rPr>
        <w:footnoteRef/>
      </w:r>
      <w:r w:rsidRPr="009F549F">
        <w:rPr>
          <w:rFonts w:eastAsia="Century Schoolbook"/>
          <w:color w:val="000000"/>
        </w:rPr>
        <w:t xml:space="preserve"> David </w:t>
      </w:r>
      <w:proofErr w:type="spellStart"/>
      <w:r w:rsidRPr="009F549F">
        <w:rPr>
          <w:rFonts w:eastAsia="Century Schoolbook"/>
          <w:color w:val="000000"/>
        </w:rPr>
        <w:t>Kamin</w:t>
      </w:r>
      <w:proofErr w:type="spellEnd"/>
      <w:r w:rsidRPr="009F549F">
        <w:rPr>
          <w:rFonts w:eastAsia="Century Schoolbook"/>
          <w:color w:val="000000"/>
        </w:rPr>
        <w:t xml:space="preserve">, </w:t>
      </w:r>
      <w:r w:rsidRPr="009F549F">
        <w:rPr>
          <w:rFonts w:eastAsia="Century Schoolbook"/>
          <w:i/>
          <w:color w:val="000000"/>
        </w:rPr>
        <w:t>Risky Returns: Accounting for Risk in the Federal Budget</w:t>
      </w:r>
      <w:r w:rsidRPr="009F549F">
        <w:rPr>
          <w:rFonts w:eastAsia="Century Schoolbook"/>
          <w:color w:val="000000"/>
        </w:rPr>
        <w:t xml:space="preserve">, 88 </w:t>
      </w:r>
      <w:r w:rsidRPr="009F549F">
        <w:rPr>
          <w:rFonts w:eastAsia="Century Schoolbook"/>
          <w:smallCaps/>
          <w:color w:val="000000"/>
        </w:rPr>
        <w:t>Ind</w:t>
      </w:r>
      <w:r w:rsidRPr="009F549F">
        <w:rPr>
          <w:rFonts w:eastAsia="Century Schoolbook"/>
          <w:color w:val="000000"/>
        </w:rPr>
        <w:t xml:space="preserve">. L.J. 723, 741–42, 746 (2013); Rebecca </w:t>
      </w:r>
      <w:proofErr w:type="spellStart"/>
      <w:r w:rsidRPr="009F549F">
        <w:rPr>
          <w:rFonts w:eastAsia="Century Schoolbook"/>
          <w:color w:val="000000"/>
        </w:rPr>
        <w:t>Kysar</w:t>
      </w:r>
      <w:proofErr w:type="spellEnd"/>
      <w:r w:rsidRPr="009F549F">
        <w:rPr>
          <w:rFonts w:eastAsia="Century Schoolbook"/>
          <w:color w:val="000000"/>
        </w:rPr>
        <w:t xml:space="preserve">, </w:t>
      </w:r>
      <w:r w:rsidRPr="009F549F">
        <w:rPr>
          <w:rFonts w:eastAsia="Century Schoolbook"/>
          <w:i/>
          <w:color w:val="000000"/>
        </w:rPr>
        <w:t>Listening to Congress: Earmark Rules and Statutory Interpretation</w:t>
      </w:r>
      <w:r w:rsidRPr="009F549F">
        <w:rPr>
          <w:rFonts w:eastAsia="Century Schoolbook"/>
          <w:color w:val="000000"/>
        </w:rPr>
        <w:t xml:space="preserve">, 94 </w:t>
      </w:r>
      <w:r w:rsidRPr="009F549F">
        <w:rPr>
          <w:rFonts w:eastAsia="Century Schoolbook"/>
          <w:smallCaps/>
          <w:color w:val="000000"/>
        </w:rPr>
        <w:t>Cornell L. Rev.</w:t>
      </w:r>
      <w:r w:rsidRPr="009F549F">
        <w:rPr>
          <w:rFonts w:eastAsia="Century Schoolbook"/>
          <w:color w:val="000000"/>
        </w:rPr>
        <w:t xml:space="preserve"> 519, 529–33 (2009).</w:t>
      </w:r>
      <w:r>
        <w:rPr>
          <w:rFonts w:ascii="Century Schoolbook" w:eastAsia="Century Schoolbook" w:hAnsi="Century Schoolbook" w:cs="Century Schoolbook"/>
          <w:color w:val="000000"/>
          <w:sz w:val="20"/>
          <w:szCs w:val="20"/>
        </w:rPr>
        <w:t xml:space="preserve"> Note that this all presumes that the ULTRA would be treated as equivalent to a direct loan for budget scoring purposes, as we argue that it should be and as could be specified in the legislation enacting the ULTRA reform.</w:t>
      </w:r>
    </w:p>
  </w:footnote>
  <w:footnote w:id="241">
    <w:p w14:paraId="32A3039A" w14:textId="4DC5E413" w:rsidR="006E30B5" w:rsidRPr="009F549F" w:rsidRDefault="006E30B5">
      <w:pPr>
        <w:pBdr>
          <w:top w:val="nil"/>
          <w:left w:val="nil"/>
          <w:bottom w:val="nil"/>
          <w:right w:val="nil"/>
          <w:between w:val="nil"/>
        </w:pBdr>
        <w:rPr>
          <w:rFonts w:eastAsia="Century Schoolbook"/>
          <w:color w:val="000000"/>
        </w:rPr>
      </w:pPr>
      <w:r w:rsidRPr="009F549F">
        <w:rPr>
          <w:vertAlign w:val="superscript"/>
        </w:rPr>
        <w:footnoteRef/>
      </w:r>
      <w:r w:rsidRPr="009F549F">
        <w:rPr>
          <w:rFonts w:eastAsia="Century Schoolbook"/>
          <w:i/>
          <w:color w:val="000000"/>
        </w:rPr>
        <w:t xml:space="preserve"> See infra </w:t>
      </w:r>
      <w:r w:rsidRPr="009F549F">
        <w:rPr>
          <w:rFonts w:eastAsia="Century Schoolbook"/>
          <w:color w:val="000000"/>
        </w:rPr>
        <w:t xml:space="preserve">Part </w:t>
      </w:r>
      <w:r w:rsidRPr="00E4238D">
        <w:rPr>
          <w:rFonts w:eastAsia="Century Schoolbook"/>
          <w:color w:val="000000"/>
        </w:rPr>
        <w:fldChar w:fldCharType="begin"/>
      </w:r>
      <w:r w:rsidRPr="00E4238D">
        <w:rPr>
          <w:rFonts w:eastAsia="Century Schoolbook"/>
          <w:color w:val="000000"/>
        </w:rPr>
        <w:instrText xml:space="preserve"> REF _Ref119431830 \h </w:instrText>
      </w:r>
      <w:r w:rsidRPr="009F549F">
        <w:rPr>
          <w:rFonts w:eastAsia="Century Schoolbook"/>
          <w:color w:val="000000"/>
        </w:rPr>
        <w:instrText xml:space="preserve"> \* MERGEFORMAT </w:instrText>
      </w:r>
      <w:r w:rsidRPr="00E4238D">
        <w:rPr>
          <w:rFonts w:eastAsia="Century Schoolbook"/>
          <w:color w:val="000000"/>
        </w:rPr>
      </w:r>
      <w:r w:rsidRPr="00E4238D">
        <w:rPr>
          <w:rFonts w:eastAsia="Century Schoolbook"/>
          <w:color w:val="000000"/>
        </w:rPr>
        <w:fldChar w:fldCharType="separate"/>
      </w:r>
      <w:r w:rsidRPr="009F549F">
        <w:t xml:space="preserve">B. </w:t>
      </w:r>
      <w:r w:rsidRPr="00C90F0B">
        <w:rPr>
          <w:i/>
        </w:rPr>
        <w:t>The Scope of the Deferral Option</w:t>
      </w:r>
      <w:r w:rsidRPr="00E4238D">
        <w:rPr>
          <w:rFonts w:eastAsia="Century Schoolbook"/>
          <w:color w:val="000000"/>
        </w:rPr>
        <w:fldChar w:fldCharType="end"/>
      </w:r>
      <w:r w:rsidRPr="00E4238D">
        <w:rPr>
          <w:rFonts w:eastAsia="Century Schoolbook"/>
          <w:color w:val="000000"/>
        </w:rPr>
        <w:t>.</w:t>
      </w:r>
    </w:p>
  </w:footnote>
  <w:footnote w:id="242">
    <w:p w14:paraId="32CE047C" w14:textId="3D1A178D" w:rsidR="006E30B5" w:rsidRPr="009F549F" w:rsidRDefault="006E30B5">
      <w:pPr>
        <w:pBdr>
          <w:top w:val="nil"/>
          <w:left w:val="nil"/>
          <w:bottom w:val="nil"/>
          <w:right w:val="nil"/>
          <w:between w:val="nil"/>
        </w:pBdr>
        <w:rPr>
          <w:rFonts w:eastAsia="Century Schoolbook"/>
          <w:color w:val="000000"/>
        </w:rPr>
      </w:pPr>
      <w:r w:rsidRPr="009F549F">
        <w:rPr>
          <w:vertAlign w:val="superscript"/>
        </w:rPr>
        <w:footnoteRef/>
      </w:r>
      <w:r w:rsidRPr="009F549F">
        <w:rPr>
          <w:rFonts w:eastAsia="Century Schoolbook"/>
          <w:color w:val="000000"/>
        </w:rPr>
        <w:t xml:space="preserve"> </w:t>
      </w:r>
      <w:r w:rsidRPr="009F549F">
        <w:rPr>
          <w:rFonts w:eastAsia="Century Schoolbook"/>
          <w:i/>
          <w:color w:val="000000"/>
        </w:rPr>
        <w:t xml:space="preserve">See </w:t>
      </w:r>
      <w:r w:rsidRPr="009F549F">
        <w:rPr>
          <w:rFonts w:eastAsia="Century Schoolbook"/>
          <w:color w:val="000000"/>
        </w:rPr>
        <w:t xml:space="preserve">Zachary D. </w:t>
      </w:r>
      <w:proofErr w:type="spellStart"/>
      <w:r w:rsidRPr="009F549F">
        <w:rPr>
          <w:rFonts w:eastAsia="Century Schoolbook"/>
          <w:color w:val="000000"/>
        </w:rPr>
        <w:t>Liscow</w:t>
      </w:r>
      <w:proofErr w:type="spellEnd"/>
      <w:r w:rsidRPr="009F549F">
        <w:rPr>
          <w:rFonts w:eastAsia="Century Schoolbook"/>
          <w:color w:val="000000"/>
        </w:rPr>
        <w:t xml:space="preserve"> &amp; Edward G. Fox, </w:t>
      </w:r>
      <w:r w:rsidRPr="009F549F">
        <w:rPr>
          <w:rFonts w:eastAsia="Century Schoolbook"/>
          <w:i/>
          <w:color w:val="000000"/>
        </w:rPr>
        <w:t>The Psychology of Taxing Capital Income: Evidence from a Survey Experiment on the Realization Rule</w:t>
      </w:r>
      <w:r w:rsidRPr="009F549F">
        <w:rPr>
          <w:rFonts w:eastAsia="Century Schoolbook"/>
          <w:color w:val="000000"/>
        </w:rPr>
        <w:t xml:space="preserve"> </w:t>
      </w:r>
      <w:r w:rsidRPr="00036097">
        <w:rPr>
          <w:rFonts w:eastAsia="Century Schoolbook"/>
          <w:iCs/>
          <w:color w:val="000000"/>
        </w:rPr>
        <w:t>3</w:t>
      </w:r>
      <w:r w:rsidRPr="00036097">
        <w:rPr>
          <w:rFonts w:eastAsia="Century Schoolbook"/>
          <w:i/>
          <w:color w:val="000000"/>
        </w:rPr>
        <w:t xml:space="preserve"> </w:t>
      </w:r>
      <w:r w:rsidRPr="009F549F">
        <w:rPr>
          <w:rFonts w:eastAsia="Century Schoolbook"/>
          <w:color w:val="000000"/>
        </w:rPr>
        <w:t>(May 17, 2021),</w:t>
      </w:r>
      <w:r w:rsidRPr="009F549F">
        <w:rPr>
          <w:rFonts w:eastAsia="Century Schoolbook"/>
          <w:i/>
          <w:color w:val="000000"/>
        </w:rPr>
        <w:t xml:space="preserve"> </w:t>
      </w:r>
      <w:r w:rsidRPr="009F549F">
        <w:rPr>
          <w:rFonts w:eastAsia="Century Schoolbook"/>
          <w:color w:val="000000"/>
        </w:rPr>
        <w:t>https://</w:t>
      </w:r>
      <w:r w:rsidRPr="007D6E99">
        <w:rPr>
          <w:rFonts w:ascii="Century Schoolbook" w:eastAsia="Century Schoolbook" w:hAnsi="Century Schoolbook" w:cs="Century Schoolbook"/>
          <w:color w:val="000000"/>
          <w:sz w:val="20"/>
          <w:szCs w:val="20"/>
        </w:rPr>
        <w:t>papers.</w:t>
      </w:r>
      <w:r w:rsidRPr="009F549F">
        <w:rPr>
          <w:rFonts w:eastAsia="Century Schoolbook"/>
          <w:color w:val="000000"/>
        </w:rPr>
        <w:t>ssrn.com/</w:t>
      </w:r>
      <w:r w:rsidRPr="007D6E99">
        <w:rPr>
          <w:rFonts w:ascii="Century Schoolbook" w:eastAsia="Century Schoolbook" w:hAnsi="Century Schoolbook" w:cs="Century Schoolbook"/>
          <w:color w:val="000000"/>
          <w:sz w:val="20"/>
          <w:szCs w:val="20"/>
        </w:rPr>
        <w:t>sol3/papers.cfm?</w:t>
      </w:r>
      <w:r w:rsidRPr="009F549F">
        <w:rPr>
          <w:rFonts w:eastAsia="Century Schoolbook"/>
          <w:color w:val="000000"/>
        </w:rPr>
        <w:t xml:space="preserve">abstract_id=3960477 </w:t>
      </w:r>
      <w:r w:rsidRPr="00036097">
        <w:rPr>
          <w:rFonts w:eastAsia="Century Schoolbook"/>
          <w:color w:val="000000"/>
        </w:rPr>
        <w:t>[</w:t>
      </w:r>
      <w:hyperlink r:id="rId2" w:history="1">
        <w:r w:rsidRPr="0008602B">
          <w:rPr>
            <w:rFonts w:eastAsia="Century Schoolbook"/>
            <w:color w:val="000000"/>
          </w:rPr>
          <w:t>https://perma.cc/RBE5-EW49</w:t>
        </w:r>
      </w:hyperlink>
      <w:r w:rsidRPr="0008602B">
        <w:rPr>
          <w:rFonts w:eastAsia="Century Schoolbook"/>
          <w:color w:val="000000"/>
        </w:rPr>
        <w:t xml:space="preserve">] </w:t>
      </w:r>
      <w:r w:rsidRPr="009F549F">
        <w:rPr>
          <w:rFonts w:eastAsia="Century Schoolbook"/>
          <w:color w:val="000000"/>
        </w:rPr>
        <w:t>(finding that survey respondents report an aversion to taxing unrealized gains, even with respect to the very wealthy).</w:t>
      </w:r>
      <w:r w:rsidRPr="00036097">
        <w:rPr>
          <w:rFonts w:eastAsia="Century Schoolbook"/>
          <w:color w:val="000000"/>
        </w:rPr>
        <w:t xml:space="preserve"> </w:t>
      </w:r>
    </w:p>
  </w:footnote>
  <w:footnote w:id="243">
    <w:p w14:paraId="248EE536" w14:textId="4123977E" w:rsidR="006E30B5" w:rsidRPr="009F549F" w:rsidRDefault="006E30B5">
      <w:pPr>
        <w:pBdr>
          <w:top w:val="nil"/>
          <w:left w:val="nil"/>
          <w:bottom w:val="nil"/>
          <w:right w:val="nil"/>
          <w:between w:val="nil"/>
        </w:pBdr>
        <w:rPr>
          <w:rFonts w:eastAsia="Century Schoolbook"/>
          <w:color w:val="000000"/>
        </w:rPr>
      </w:pPr>
      <w:r w:rsidRPr="009F549F">
        <w:rPr>
          <w:vertAlign w:val="superscript"/>
        </w:rPr>
        <w:footnoteRef/>
      </w:r>
      <w:r w:rsidRPr="009F549F">
        <w:rPr>
          <w:rFonts w:eastAsia="Century Schoolbook"/>
          <w:color w:val="000000"/>
        </w:rPr>
        <w:t xml:space="preserve"> For discussion of the constitutionality issue, see </w:t>
      </w:r>
      <w:r>
        <w:rPr>
          <w:rFonts w:eastAsia="Century Schoolbook"/>
          <w:color w:val="000000"/>
        </w:rPr>
        <w:t xml:space="preserve">generally </w:t>
      </w:r>
      <w:r w:rsidRPr="009F549F">
        <w:rPr>
          <w:rFonts w:eastAsia="Century Schoolbook"/>
          <w:color w:val="000000"/>
        </w:rPr>
        <w:t xml:space="preserve">Brooks &amp; Gamage, </w:t>
      </w:r>
      <w:r w:rsidRPr="009F549F">
        <w:rPr>
          <w:rFonts w:eastAsia="Century Schoolbook"/>
          <w:i/>
          <w:color w:val="000000"/>
        </w:rPr>
        <w:t>supra</w:t>
      </w:r>
      <w:r w:rsidRPr="009F549F">
        <w:rPr>
          <w:rFonts w:eastAsia="Century Schoolbook"/>
          <w:color w:val="000000"/>
        </w:rPr>
        <w:t xml:space="preserve"> note </w:t>
      </w:r>
      <w:r w:rsidRPr="00036097">
        <w:rPr>
          <w:rFonts w:eastAsia="Century Schoolbook"/>
          <w:color w:val="000000"/>
        </w:rPr>
        <w:fldChar w:fldCharType="begin"/>
      </w:r>
      <w:r w:rsidRPr="00036097">
        <w:rPr>
          <w:rFonts w:eastAsia="Century Schoolbook"/>
          <w:color w:val="000000"/>
        </w:rPr>
        <w:instrText xml:space="preserve"> NOTEREF _Ref115605004 \h  \* MERGEFORMAT </w:instrText>
      </w:r>
      <w:r w:rsidRPr="00036097">
        <w:rPr>
          <w:rFonts w:eastAsia="Century Schoolbook"/>
          <w:color w:val="000000"/>
        </w:rPr>
      </w:r>
      <w:r w:rsidRPr="00036097">
        <w:rPr>
          <w:rFonts w:eastAsia="Century Schoolbook"/>
          <w:color w:val="000000"/>
        </w:rPr>
        <w:fldChar w:fldCharType="separate"/>
      </w:r>
      <w:r>
        <w:rPr>
          <w:rFonts w:eastAsia="Century Schoolbook"/>
          <w:color w:val="000000"/>
        </w:rPr>
        <w:t>20</w:t>
      </w:r>
      <w:r w:rsidRPr="00036097">
        <w:rPr>
          <w:rFonts w:eastAsia="Century Schoolbook"/>
          <w:color w:val="000000"/>
        </w:rPr>
        <w:fldChar w:fldCharType="end"/>
      </w:r>
      <w:r w:rsidRPr="00036097">
        <w:rPr>
          <w:rFonts w:eastAsia="Century Schoolbook"/>
          <w:color w:val="000000"/>
        </w:rPr>
        <w:t>.</w:t>
      </w:r>
      <w:r w:rsidRPr="00E46AC7">
        <w:rPr>
          <w:rFonts w:eastAsia="Century Schoolbook"/>
          <w:b/>
          <w:color w:val="000000"/>
        </w:rPr>
        <w:t xml:space="preserve"> </w:t>
      </w:r>
    </w:p>
  </w:footnote>
  <w:footnote w:id="244">
    <w:p w14:paraId="18FC0C21" w14:textId="0D778528" w:rsidR="006E30B5" w:rsidRPr="009F549F" w:rsidRDefault="006E30B5">
      <w:pPr>
        <w:pBdr>
          <w:top w:val="nil"/>
          <w:left w:val="nil"/>
          <w:bottom w:val="nil"/>
          <w:right w:val="nil"/>
          <w:between w:val="nil"/>
        </w:pBdr>
        <w:rPr>
          <w:rFonts w:eastAsia="Century Schoolbook"/>
          <w:color w:val="000000"/>
        </w:rPr>
      </w:pPr>
      <w:r w:rsidRPr="009F549F">
        <w:rPr>
          <w:vertAlign w:val="superscript"/>
        </w:rPr>
        <w:footnoteRef/>
      </w:r>
      <w:r w:rsidRPr="009F549F">
        <w:rPr>
          <w:rFonts w:eastAsia="Century Schoolbook"/>
          <w:color w:val="000000"/>
        </w:rPr>
        <w:t xml:space="preserve"> </w:t>
      </w:r>
      <w:r w:rsidRPr="009F549F">
        <w:rPr>
          <w:rFonts w:eastAsia="Century Schoolbook"/>
          <w:i/>
          <w:color w:val="000000"/>
        </w:rPr>
        <w:t xml:space="preserve">Id. </w:t>
      </w:r>
      <w:r w:rsidRPr="009F549F">
        <w:rPr>
          <w:rFonts w:eastAsia="Century Schoolbook"/>
          <w:color w:val="000000"/>
        </w:rPr>
        <w:t>at 62</w:t>
      </w:r>
      <w:r w:rsidRPr="00036097">
        <w:rPr>
          <w:rFonts w:eastAsia="Century Schoolbook"/>
          <w:color w:val="000000"/>
        </w:rPr>
        <w:t>–</w:t>
      </w:r>
      <w:r w:rsidRPr="009F549F">
        <w:rPr>
          <w:rFonts w:eastAsia="Century Schoolbook"/>
          <w:color w:val="000000"/>
        </w:rPr>
        <w:t>63</w:t>
      </w:r>
      <w:r w:rsidRPr="00036097">
        <w:rPr>
          <w:rFonts w:eastAsia="Century Schoolbook"/>
          <w:color w:val="000000"/>
        </w:rPr>
        <w:t>.</w:t>
      </w:r>
    </w:p>
  </w:footnote>
  <w:footnote w:id="245">
    <w:p w14:paraId="186A1AB8" w14:textId="7C8E6996" w:rsidR="006E30B5" w:rsidRPr="009F549F" w:rsidRDefault="006E30B5">
      <w:pPr>
        <w:pBdr>
          <w:top w:val="nil"/>
          <w:left w:val="nil"/>
          <w:bottom w:val="nil"/>
          <w:right w:val="nil"/>
          <w:between w:val="nil"/>
        </w:pBdr>
        <w:rPr>
          <w:rFonts w:eastAsia="Century Schoolbook"/>
          <w:color w:val="000000"/>
        </w:rPr>
      </w:pPr>
      <w:r w:rsidRPr="009F549F">
        <w:rPr>
          <w:vertAlign w:val="superscript"/>
        </w:rPr>
        <w:footnoteRef/>
      </w:r>
      <w:r w:rsidRPr="009F549F">
        <w:rPr>
          <w:rFonts w:eastAsia="Century Schoolbook"/>
          <w:color w:val="000000"/>
        </w:rPr>
        <w:t xml:space="preserve"> </w:t>
      </w:r>
      <w:r w:rsidRPr="009F549F">
        <w:rPr>
          <w:rFonts w:eastAsia="Century Schoolbook"/>
          <w:i/>
          <w:color w:val="000000"/>
        </w:rPr>
        <w:t xml:space="preserve">See </w:t>
      </w:r>
      <w:r w:rsidRPr="00036097">
        <w:rPr>
          <w:rFonts w:eastAsia="Century Schoolbook"/>
          <w:i/>
          <w:color w:val="000000"/>
        </w:rPr>
        <w:t>id.</w:t>
      </w:r>
      <w:r w:rsidRPr="00036097">
        <w:rPr>
          <w:rFonts w:eastAsia="Century Schoolbook"/>
          <w:iCs/>
          <w:color w:val="000000"/>
        </w:rPr>
        <w:t xml:space="preserve"> at 68</w:t>
      </w:r>
      <w:r w:rsidRPr="009F549F">
        <w:rPr>
          <w:rFonts w:eastAsia="Century Schoolbook"/>
          <w:i/>
          <w:color w:val="000000"/>
        </w:rPr>
        <w:t xml:space="preserve"> </w:t>
      </w:r>
      <w:r w:rsidRPr="009F549F">
        <w:rPr>
          <w:rFonts w:eastAsia="Century Schoolbook"/>
          <w:color w:val="000000"/>
        </w:rPr>
        <w:t xml:space="preserve">(arguing that both the uniformity path and the apportionment path are viable approaches for designing a constitutional wealth tax or mark-to-market reform and suggesting strategies like fallback clauses for mitigating the constitutional uncertainties). If the Supreme Court were to require apportionment for a pure mark-to-market reform, transforming that reform into a hybrid by offering ULTRAs as a realization-based deferral option might be easier than transforming the reform to follow the apportionment path. </w:t>
      </w:r>
    </w:p>
  </w:footnote>
  <w:footnote w:id="246">
    <w:p w14:paraId="398FB852" w14:textId="057AA568" w:rsidR="006E30B5" w:rsidRPr="009F549F" w:rsidRDefault="006E30B5">
      <w:pPr>
        <w:pBdr>
          <w:top w:val="nil"/>
          <w:left w:val="nil"/>
          <w:bottom w:val="nil"/>
          <w:right w:val="nil"/>
          <w:between w:val="nil"/>
        </w:pBdr>
        <w:rPr>
          <w:rFonts w:eastAsia="Century Schoolbook"/>
          <w:color w:val="000000"/>
        </w:rPr>
      </w:pPr>
      <w:r w:rsidRPr="009F549F">
        <w:rPr>
          <w:vertAlign w:val="superscript"/>
        </w:rPr>
        <w:footnoteRef/>
      </w:r>
      <w:r w:rsidRPr="009F549F">
        <w:rPr>
          <w:rFonts w:eastAsia="Century Schoolbook"/>
          <w:color w:val="000000"/>
        </w:rPr>
        <w:t xml:space="preserve"> </w:t>
      </w:r>
      <w:r w:rsidRPr="009F549F">
        <w:rPr>
          <w:rFonts w:eastAsia="Century Schoolbook"/>
          <w:i/>
          <w:color w:val="000000"/>
        </w:rPr>
        <w:t xml:space="preserve">See </w:t>
      </w:r>
      <w:r w:rsidRPr="00036097">
        <w:rPr>
          <w:rFonts w:eastAsia="Century Schoolbook"/>
          <w:i/>
          <w:color w:val="000000"/>
        </w:rPr>
        <w:t xml:space="preserve">supra </w:t>
      </w:r>
      <w:r w:rsidRPr="009F549F">
        <w:rPr>
          <w:rFonts w:eastAsia="Century Schoolbook"/>
          <w:color w:val="000000"/>
        </w:rPr>
        <w:t xml:space="preserve">note  </w:t>
      </w:r>
      <w:r>
        <w:rPr>
          <w:rFonts w:eastAsia="Century Schoolbook"/>
          <w:color w:val="000000"/>
        </w:rPr>
        <w:fldChar w:fldCharType="begin"/>
      </w:r>
      <w:r>
        <w:rPr>
          <w:rFonts w:eastAsia="Century Schoolbook"/>
          <w:color w:val="000000"/>
        </w:rPr>
        <w:instrText xml:space="preserve"> NOTEREF _Ref120349702 \h </w:instrText>
      </w:r>
      <w:r>
        <w:rPr>
          <w:rFonts w:eastAsia="Century Schoolbook"/>
          <w:color w:val="000000"/>
        </w:rPr>
      </w:r>
      <w:r>
        <w:rPr>
          <w:rFonts w:eastAsia="Century Schoolbook"/>
          <w:color w:val="000000"/>
        </w:rPr>
        <w:fldChar w:fldCharType="separate"/>
      </w:r>
      <w:r>
        <w:rPr>
          <w:rFonts w:eastAsia="Century Schoolbook"/>
          <w:color w:val="000000"/>
        </w:rPr>
        <w:t>186</w:t>
      </w:r>
      <w:r>
        <w:rPr>
          <w:rFonts w:eastAsia="Century Schoolbook"/>
          <w:color w:val="000000"/>
        </w:rPr>
        <w:fldChar w:fldCharType="end"/>
      </w:r>
      <w:r>
        <w:rPr>
          <w:rFonts w:eastAsia="Century Schoolbook"/>
          <w:color w:val="000000"/>
        </w:rPr>
        <w:t xml:space="preserve"> </w:t>
      </w:r>
      <w:r w:rsidRPr="009F549F">
        <w:rPr>
          <w:rFonts w:eastAsia="Century Schoolbook"/>
          <w:color w:val="000000"/>
        </w:rPr>
        <w:t xml:space="preserve">and accompanying text. Whether it is possible to design an ULTRA regime to be sufficiently strict for this purpose, in the absence of requiring </w:t>
      </w:r>
      <w:r w:rsidRPr="00036097">
        <w:rPr>
          <w:rFonts w:eastAsia="Century Schoolbook"/>
          <w:color w:val="000000"/>
        </w:rPr>
        <w:t>prepayments</w:t>
      </w:r>
      <w:r w:rsidRPr="009F549F">
        <w:rPr>
          <w:rFonts w:eastAsia="Century Schoolbook"/>
          <w:color w:val="000000"/>
        </w:rPr>
        <w:t xml:space="preserve"> of estimated taxes, is somewhat speculative and will depend </w:t>
      </w:r>
      <w:r w:rsidRPr="00036097">
        <w:rPr>
          <w:rFonts w:eastAsia="Century Schoolbook"/>
          <w:color w:val="000000"/>
        </w:rPr>
        <w:t>substantial</w:t>
      </w:r>
      <w:r>
        <w:rPr>
          <w:rFonts w:eastAsia="Century Schoolbook"/>
          <w:color w:val="000000"/>
        </w:rPr>
        <w:t>ly</w:t>
      </w:r>
      <w:r w:rsidRPr="009F549F">
        <w:rPr>
          <w:rFonts w:eastAsia="Century Schoolbook"/>
          <w:color w:val="000000"/>
        </w:rPr>
        <w:t xml:space="preserve"> on the political circumstances surrounding the reform. This is because political optionality inherently involves taxpayers’ expectations about the likely sustainability of the reform in the face of potential future political or legal changes. That said, the PFIC regime’s deferral option does not appear to have been substantially undermined by political optionality concerns, at least so far, implying that there are possible equilibriums in which taxpayers would consider a deferral regime to be sufficiently robust to political optionality so that most taxpayers would be unwilling to take the gamble of opting into the regime based on the hope of it being eventually weakened</w:t>
      </w:r>
      <w:r>
        <w:rPr>
          <w:rFonts w:ascii="Century Schoolbook" w:eastAsia="Century Schoolbook" w:hAnsi="Century Schoolbook" w:cs="Century Schoolbook"/>
          <w:color w:val="000000"/>
          <w:sz w:val="20"/>
          <w:szCs w:val="20"/>
        </w:rPr>
        <w:t xml:space="preserve">. </w:t>
      </w:r>
    </w:p>
  </w:footnote>
  <w:footnote w:id="247">
    <w:p w14:paraId="599EF376" w14:textId="4D2834B6" w:rsidR="006E30B5" w:rsidRPr="009F549F" w:rsidRDefault="006E30B5">
      <w:pPr>
        <w:pBdr>
          <w:top w:val="nil"/>
          <w:left w:val="nil"/>
          <w:bottom w:val="nil"/>
          <w:right w:val="nil"/>
          <w:between w:val="nil"/>
        </w:pBdr>
        <w:rPr>
          <w:rFonts w:eastAsia="Century Schoolbook"/>
          <w:color w:val="000000"/>
        </w:rPr>
      </w:pPr>
      <w:r w:rsidRPr="009F549F">
        <w:rPr>
          <w:vertAlign w:val="superscript"/>
        </w:rPr>
        <w:footnoteRef/>
      </w:r>
      <w:r w:rsidRPr="009F549F">
        <w:rPr>
          <w:rFonts w:eastAsia="Century Schoolbook"/>
          <w:color w:val="000000"/>
        </w:rPr>
        <w:t xml:space="preserve"> </w:t>
      </w:r>
      <w:r w:rsidRPr="009F549F">
        <w:rPr>
          <w:rFonts w:eastAsia="Century Schoolbook"/>
          <w:i/>
          <w:color w:val="000000"/>
        </w:rPr>
        <w:t>See, e.g.</w:t>
      </w:r>
      <w:r w:rsidRPr="009F549F">
        <w:rPr>
          <w:rFonts w:eastAsia="Century Schoolbook"/>
          <w:color w:val="000000"/>
        </w:rPr>
        <w:t xml:space="preserve">, Willacy v. Cleveland Bd. of Income Tax Rev., 151 N.E.3d 561, 569 (Ohio </w:t>
      </w:r>
      <w:r w:rsidRPr="007D6E99">
        <w:rPr>
          <w:rFonts w:ascii="Century Schoolbook" w:eastAsia="Century Schoolbook" w:hAnsi="Century Schoolbook" w:cs="Century Schoolbook"/>
          <w:color w:val="000000"/>
          <w:sz w:val="20"/>
          <w:szCs w:val="20"/>
        </w:rPr>
        <w:t xml:space="preserve">Sup. Ct. </w:t>
      </w:r>
      <w:r w:rsidRPr="009F549F">
        <w:rPr>
          <w:rFonts w:eastAsia="Century Schoolbook"/>
          <w:color w:val="000000"/>
        </w:rPr>
        <w:t>2020</w:t>
      </w:r>
      <w:r w:rsidRPr="00036097">
        <w:rPr>
          <w:rFonts w:eastAsia="Century Schoolbook"/>
          <w:color w:val="000000"/>
        </w:rPr>
        <w:t>) (stating that “the claim that a due-process problem arises because of a time gap between the income-producing activity and the imposition of a tax on compensation for that activity has no basis in law”).</w:t>
      </w:r>
    </w:p>
  </w:footnote>
  <w:footnote w:id="248">
    <w:p w14:paraId="41EECF42" w14:textId="7E5068C8" w:rsidR="006E30B5" w:rsidRPr="009F549F" w:rsidRDefault="006E30B5">
      <w:pPr>
        <w:pBdr>
          <w:top w:val="nil"/>
          <w:left w:val="nil"/>
          <w:bottom w:val="nil"/>
          <w:right w:val="nil"/>
          <w:between w:val="nil"/>
        </w:pBdr>
        <w:rPr>
          <w:rFonts w:eastAsia="Century Schoolbook"/>
          <w:color w:val="000000"/>
        </w:rPr>
      </w:pPr>
      <w:r w:rsidRPr="009F549F">
        <w:rPr>
          <w:vertAlign w:val="superscript"/>
        </w:rPr>
        <w:footnoteRef/>
      </w:r>
      <w:r w:rsidRPr="009F549F">
        <w:rPr>
          <w:rFonts w:eastAsia="Century Schoolbook"/>
          <w:color w:val="000000"/>
        </w:rPr>
        <w:t xml:space="preserve"> Charles W. Rhodes &amp; Cassandra Burke Robertson, </w:t>
      </w:r>
      <w:r w:rsidRPr="009F549F">
        <w:rPr>
          <w:rFonts w:eastAsia="Century Schoolbook"/>
          <w:i/>
          <w:color w:val="000000"/>
        </w:rPr>
        <w:t>A New State Registration Act: Legislating a Longer Arm for Personal Jurisdiction</w:t>
      </w:r>
      <w:r w:rsidRPr="009F549F">
        <w:rPr>
          <w:rFonts w:eastAsia="Century Schoolbook"/>
          <w:color w:val="000000"/>
        </w:rPr>
        <w:t xml:space="preserve">, 57 </w:t>
      </w:r>
      <w:r w:rsidRPr="009F549F">
        <w:rPr>
          <w:rFonts w:eastAsia="Century Schoolbook"/>
          <w:smallCaps/>
          <w:color w:val="000000"/>
        </w:rPr>
        <w:t xml:space="preserve">Harv. J. </w:t>
      </w:r>
      <w:r w:rsidRPr="00036097">
        <w:rPr>
          <w:rFonts w:eastAsia="Century Schoolbook"/>
          <w:smallCaps/>
          <w:color w:val="000000"/>
        </w:rPr>
        <w:t>Legis</w:t>
      </w:r>
      <w:r w:rsidRPr="009F549F">
        <w:rPr>
          <w:rFonts w:eastAsia="Century Schoolbook"/>
          <w:smallCaps/>
          <w:color w:val="000000"/>
        </w:rPr>
        <w:t>.</w:t>
      </w:r>
      <w:r w:rsidRPr="009F549F">
        <w:rPr>
          <w:rFonts w:eastAsia="Century Schoolbook"/>
          <w:color w:val="000000"/>
        </w:rPr>
        <w:t xml:space="preserve"> 377, 400 (2020) (“The Supreme Court has long acknowledged that non-resident defendants can consent to personal jurisdiction, which, when given in accordance with the Constitution, waives other potential constitutional challenges to the state's adjudicative power.”) (citing cases</w:t>
      </w:r>
      <w:r w:rsidRPr="00036097">
        <w:rPr>
          <w:rFonts w:eastAsia="Century Schoolbook"/>
          <w:color w:val="000000"/>
        </w:rPr>
        <w:t xml:space="preserve">). </w:t>
      </w:r>
    </w:p>
  </w:footnote>
  <w:footnote w:id="249">
    <w:p w14:paraId="0191E535" w14:textId="058B2B7B" w:rsidR="006E30B5" w:rsidRPr="009F549F" w:rsidRDefault="006E30B5">
      <w:pPr>
        <w:pBdr>
          <w:top w:val="nil"/>
          <w:left w:val="nil"/>
          <w:bottom w:val="nil"/>
          <w:right w:val="nil"/>
          <w:between w:val="nil"/>
        </w:pBdr>
        <w:rPr>
          <w:rFonts w:eastAsia="Century Schoolbook"/>
          <w:color w:val="000000"/>
        </w:rPr>
      </w:pPr>
      <w:r w:rsidRPr="009F549F">
        <w:rPr>
          <w:vertAlign w:val="superscript"/>
        </w:rPr>
        <w:footnoteRef/>
      </w:r>
      <w:r w:rsidRPr="009F549F">
        <w:rPr>
          <w:rFonts w:eastAsia="Century Schoolbook"/>
          <w:color w:val="000000"/>
        </w:rPr>
        <w:t xml:space="preserve"> </w:t>
      </w:r>
      <w:r w:rsidRPr="009F549F">
        <w:rPr>
          <w:rFonts w:eastAsia="Century Schoolbook"/>
          <w:i/>
          <w:color w:val="000000"/>
        </w:rPr>
        <w:t>See, e.g</w:t>
      </w:r>
      <w:r w:rsidRPr="009F549F">
        <w:rPr>
          <w:rFonts w:eastAsia="Century Schoolbook"/>
          <w:color w:val="000000"/>
        </w:rPr>
        <w:t xml:space="preserve">., </w:t>
      </w:r>
      <w:r w:rsidRPr="009F549F">
        <w:rPr>
          <w:rFonts w:eastAsia="Century Schoolbook"/>
          <w:smallCaps/>
          <w:color w:val="000000"/>
        </w:rPr>
        <w:t>Cal.</w:t>
      </w:r>
      <w:r w:rsidRPr="007A046A">
        <w:rPr>
          <w:rFonts w:eastAsia="Century Schoolbook"/>
          <w:smallCaps/>
          <w:color w:val="000000"/>
        </w:rPr>
        <w:t xml:space="preserve"> </w:t>
      </w:r>
      <w:r w:rsidRPr="009F549F">
        <w:rPr>
          <w:rFonts w:eastAsia="Century Schoolbook"/>
          <w:smallCaps/>
          <w:color w:val="000000"/>
        </w:rPr>
        <w:t xml:space="preserve">Rev. </w:t>
      </w:r>
      <w:r w:rsidRPr="009F549F">
        <w:rPr>
          <w:rFonts w:eastAsia="Century Schoolbook"/>
          <w:smallCaps/>
          <w:color w:val="000000"/>
        </w:rPr>
        <w:t xml:space="preserve">&amp; </w:t>
      </w:r>
      <w:r w:rsidRPr="007A046A">
        <w:rPr>
          <w:rFonts w:eastAsia="Century Schoolbook"/>
          <w:smallCaps/>
          <w:color w:val="000000"/>
        </w:rPr>
        <w:t>Tax.</w:t>
      </w:r>
      <w:r w:rsidRPr="009F549F">
        <w:rPr>
          <w:rFonts w:eastAsia="Century Schoolbook"/>
          <w:color w:val="000000"/>
        </w:rPr>
        <w:t xml:space="preserve"> § 18633.5</w:t>
      </w:r>
      <w:r w:rsidRPr="00036097">
        <w:rPr>
          <w:rFonts w:eastAsia="Century Schoolbook"/>
          <w:color w:val="000000"/>
        </w:rPr>
        <w:t xml:space="preserve"> (stating that </w:t>
      </w:r>
      <w:r>
        <w:rPr>
          <w:rFonts w:eastAsia="Century Schoolbook"/>
          <w:color w:val="000000"/>
        </w:rPr>
        <w:t>limited liability corporations</w:t>
      </w:r>
      <w:r w:rsidRPr="00036097">
        <w:rPr>
          <w:rFonts w:eastAsia="Century Schoolbook"/>
          <w:color w:val="000000"/>
        </w:rPr>
        <w:t xml:space="preserve"> and </w:t>
      </w:r>
      <w:r>
        <w:rPr>
          <w:rFonts w:eastAsia="Century Schoolbook"/>
          <w:color w:val="000000"/>
        </w:rPr>
        <w:t>limited liability partnerships</w:t>
      </w:r>
      <w:r w:rsidRPr="00036097">
        <w:rPr>
          <w:rFonts w:eastAsia="Century Schoolbook"/>
          <w:color w:val="000000"/>
        </w:rPr>
        <w:t xml:space="preserve"> must pay a tax on distributive share of California income if </w:t>
      </w:r>
      <w:r>
        <w:rPr>
          <w:rFonts w:eastAsia="Century Schoolbook"/>
          <w:color w:val="000000"/>
        </w:rPr>
        <w:t xml:space="preserve">the </w:t>
      </w:r>
      <w:r w:rsidRPr="00036097">
        <w:rPr>
          <w:rFonts w:eastAsia="Century Schoolbook"/>
          <w:color w:val="000000"/>
        </w:rPr>
        <w:t xml:space="preserve">nonresident </w:t>
      </w:r>
      <w:r>
        <w:rPr>
          <w:rFonts w:eastAsia="Century Schoolbook"/>
          <w:color w:val="000000"/>
        </w:rPr>
        <w:t xml:space="preserve">does not </w:t>
      </w:r>
      <w:r w:rsidRPr="00036097">
        <w:rPr>
          <w:rFonts w:eastAsia="Century Schoolbook"/>
          <w:color w:val="000000"/>
        </w:rPr>
        <w:t>consent to jurisdiction);</w:t>
      </w:r>
      <w:r w:rsidRPr="009F549F">
        <w:rPr>
          <w:rFonts w:eastAsia="Century Schoolbook"/>
          <w:color w:val="000000"/>
        </w:rPr>
        <w:t xml:space="preserve"> Bruce P. Ely &amp; William T. Thistle, II, </w:t>
      </w:r>
      <w:r w:rsidRPr="009F549F">
        <w:rPr>
          <w:rFonts w:eastAsia="Century Schoolbook"/>
          <w:i/>
          <w:color w:val="000000"/>
        </w:rPr>
        <w:t>An Update on the State Tax Treatment of LLCs and LLPs</w:t>
      </w:r>
      <w:r w:rsidRPr="009F549F">
        <w:rPr>
          <w:rFonts w:eastAsia="Century Schoolbook"/>
          <w:color w:val="000000"/>
        </w:rPr>
        <w:t xml:space="preserve">, </w:t>
      </w:r>
      <w:r w:rsidRPr="00036097">
        <w:rPr>
          <w:rFonts w:eastAsia="Century Schoolbook"/>
          <w:color w:val="000000"/>
        </w:rPr>
        <w:t>94</w:t>
      </w:r>
      <w:r w:rsidRPr="009F549F">
        <w:rPr>
          <w:rFonts w:eastAsia="Century Schoolbook"/>
          <w:color w:val="000000"/>
        </w:rPr>
        <w:t xml:space="preserve"> </w:t>
      </w:r>
      <w:r w:rsidRPr="009F549F">
        <w:rPr>
          <w:rFonts w:eastAsia="Century Schoolbook"/>
          <w:smallCaps/>
          <w:color w:val="000000"/>
        </w:rPr>
        <w:t>Tax Notes State</w:t>
      </w:r>
      <w:r w:rsidRPr="009F549F">
        <w:rPr>
          <w:rFonts w:eastAsia="Century Schoolbook"/>
          <w:color w:val="000000"/>
        </w:rPr>
        <w:t xml:space="preserve"> </w:t>
      </w:r>
      <w:r w:rsidRPr="00036097">
        <w:rPr>
          <w:rFonts w:eastAsia="Century Schoolbook"/>
          <w:color w:val="000000"/>
        </w:rPr>
        <w:t>319 (2019</w:t>
      </w:r>
      <w:r w:rsidRPr="009F549F">
        <w:rPr>
          <w:rFonts w:eastAsia="Century Schoolbook"/>
          <w:color w:val="000000"/>
        </w:rPr>
        <w:t xml:space="preserve">) (listing </w:t>
      </w:r>
      <w:r w:rsidRPr="007D6E99">
        <w:rPr>
          <w:rFonts w:ascii="Century Schoolbook" w:eastAsia="Century Schoolbook" w:hAnsi="Century Schoolbook" w:cs="Century Schoolbook"/>
          <w:color w:val="000000"/>
          <w:sz w:val="20"/>
          <w:szCs w:val="20"/>
        </w:rPr>
        <w:t>)</w:t>
      </w:r>
      <w:r>
        <w:rPr>
          <w:rFonts w:ascii="Century Schoolbook" w:eastAsia="Century Schoolbook" w:hAnsi="Century Schoolbook" w:cs="Century Schoolbook"/>
          <w:color w:val="000000"/>
          <w:sz w:val="20"/>
          <w:szCs w:val="20"/>
        </w:rPr>
        <w:t>.</w:t>
      </w:r>
      <w:r w:rsidRPr="00036097">
        <w:rPr>
          <w:rFonts w:eastAsia="Century Schoolbook"/>
          <w:color w:val="000000"/>
        </w:rPr>
        <w:t>nonresident partner</w:t>
      </w:r>
      <w:r>
        <w:rPr>
          <w:rFonts w:eastAsia="Century Schoolbook"/>
          <w:color w:val="000000"/>
        </w:rPr>
        <w:t>-</w:t>
      </w:r>
      <w:r w:rsidRPr="00036097">
        <w:rPr>
          <w:rFonts w:eastAsia="Century Schoolbook"/>
          <w:color w:val="000000"/>
        </w:rPr>
        <w:t>withholding state tax treatment for each state).</w:t>
      </w:r>
      <w:r w:rsidRPr="009F549F">
        <w:rPr>
          <w:rFonts w:eastAsia="Century Schoolbook"/>
          <w:color w:val="000000"/>
        </w:rPr>
        <w:t xml:space="preserve"> Importantly, courts have generally upheld the assertion of state nexus with limited partners if the underlying business has </w:t>
      </w:r>
      <w:r>
        <w:rPr>
          <w:rFonts w:eastAsia="Century Schoolbook"/>
          <w:color w:val="000000"/>
        </w:rPr>
        <w:t xml:space="preserve">a </w:t>
      </w:r>
      <w:r w:rsidRPr="009F549F">
        <w:rPr>
          <w:rFonts w:eastAsia="Century Schoolbook"/>
          <w:color w:val="000000"/>
        </w:rPr>
        <w:t>nexus with the state</w:t>
      </w:r>
      <w:r>
        <w:rPr>
          <w:rFonts w:ascii="Century Schoolbook" w:eastAsia="Century Schoolbook" w:hAnsi="Century Schoolbook" w:cs="Century Schoolbook"/>
          <w:color w:val="000000"/>
          <w:sz w:val="20"/>
          <w:szCs w:val="20"/>
        </w:rPr>
        <w:t xml:space="preserve">. </w:t>
      </w:r>
      <w:r w:rsidRPr="009F549F">
        <w:rPr>
          <w:rFonts w:eastAsia="Century Schoolbook"/>
          <w:color w:val="000000"/>
        </w:rPr>
        <w:t xml:space="preserve">John A. Swain, </w:t>
      </w:r>
      <w:r w:rsidRPr="009F549F">
        <w:rPr>
          <w:rFonts w:eastAsia="Century Schoolbook"/>
          <w:i/>
          <w:color w:val="000000"/>
        </w:rPr>
        <w:t>State Income Taxation of Out-of-State Corporate Partners</w:t>
      </w:r>
      <w:r w:rsidRPr="009F549F">
        <w:rPr>
          <w:rFonts w:eastAsia="Century Schoolbook"/>
          <w:color w:val="000000"/>
        </w:rPr>
        <w:t xml:space="preserve">, 18 </w:t>
      </w:r>
      <w:r w:rsidRPr="00036097">
        <w:rPr>
          <w:rFonts w:eastAsia="Century Schoolbook"/>
          <w:smallCaps/>
          <w:color w:val="000000"/>
        </w:rPr>
        <w:t>Chap.</w:t>
      </w:r>
      <w:r w:rsidRPr="009F549F">
        <w:rPr>
          <w:rFonts w:eastAsia="Century Schoolbook"/>
          <w:smallCaps/>
          <w:color w:val="000000"/>
        </w:rPr>
        <w:t xml:space="preserve"> L. Rev</w:t>
      </w:r>
      <w:r w:rsidRPr="009F549F">
        <w:rPr>
          <w:rFonts w:eastAsia="Century Schoolbook"/>
          <w:color w:val="000000"/>
        </w:rPr>
        <w:t>. 211, 213–</w:t>
      </w:r>
      <w:r w:rsidRPr="00036097">
        <w:rPr>
          <w:rFonts w:eastAsia="Century Schoolbook"/>
          <w:color w:val="000000"/>
        </w:rPr>
        <w:t>14</w:t>
      </w:r>
      <w:r w:rsidRPr="009F549F">
        <w:rPr>
          <w:rFonts w:eastAsia="Century Schoolbook"/>
          <w:color w:val="000000"/>
        </w:rPr>
        <w:t xml:space="preserve"> (2014); </w:t>
      </w:r>
      <w:r w:rsidRPr="009F549F">
        <w:rPr>
          <w:rFonts w:eastAsia="Century Schoolbook"/>
          <w:smallCaps/>
          <w:color w:val="000000"/>
        </w:rPr>
        <w:t>Jerome</w:t>
      </w:r>
      <w:r w:rsidRPr="009F549F">
        <w:rPr>
          <w:rFonts w:eastAsia="Century Schoolbook"/>
          <w:color w:val="000000"/>
        </w:rPr>
        <w:t xml:space="preserve"> </w:t>
      </w:r>
      <w:r w:rsidRPr="00036097">
        <w:rPr>
          <w:rFonts w:eastAsia="Century Schoolbook"/>
          <w:color w:val="000000"/>
        </w:rPr>
        <w:t xml:space="preserve">R. </w:t>
      </w:r>
      <w:r w:rsidRPr="009F549F">
        <w:rPr>
          <w:rFonts w:eastAsia="Century Schoolbook"/>
          <w:smallCaps/>
          <w:color w:val="000000"/>
        </w:rPr>
        <w:t xml:space="preserve">Hellerstein, Walter Hellerstein &amp; John </w:t>
      </w:r>
      <w:r w:rsidRPr="00036097">
        <w:rPr>
          <w:rFonts w:eastAsia="Century Schoolbook"/>
          <w:smallCaps/>
          <w:color w:val="000000"/>
        </w:rPr>
        <w:t xml:space="preserve">A. </w:t>
      </w:r>
      <w:r w:rsidRPr="009F549F">
        <w:rPr>
          <w:rFonts w:eastAsia="Century Schoolbook"/>
          <w:smallCaps/>
          <w:color w:val="000000"/>
        </w:rPr>
        <w:t>Swain, State Taxation</w:t>
      </w:r>
      <w:r w:rsidRPr="009F549F">
        <w:rPr>
          <w:rFonts w:eastAsia="Century Schoolbook"/>
          <w:color w:val="000000"/>
        </w:rPr>
        <w:t xml:space="preserve"> </w:t>
      </w:r>
      <w:r w:rsidRPr="007D6E99">
        <w:rPr>
          <w:rFonts w:ascii="Century Schoolbook" w:eastAsia="Century Schoolbook" w:hAnsi="Century Schoolbook" w:cs="Century Schoolbook"/>
          <w:color w:val="000000"/>
          <w:sz w:val="20"/>
          <w:szCs w:val="20"/>
        </w:rPr>
        <w:t xml:space="preserve">(3rd Ed. 1998) </w:t>
      </w:r>
      <w:r w:rsidRPr="009F549F">
        <w:rPr>
          <w:rFonts w:eastAsia="Century Schoolbook"/>
          <w:color w:val="000000"/>
        </w:rPr>
        <w:t>§§ 6.12</w:t>
      </w:r>
      <w:r w:rsidRPr="007D1CCE">
        <w:rPr>
          <w:rFonts w:eastAsia="Century Schoolbook"/>
          <w:color w:val="000000"/>
        </w:rPr>
        <w:t>, 20.08[2][a][ii], 20.08[2][a][iii]</w:t>
      </w:r>
      <w:r w:rsidRPr="00036097">
        <w:rPr>
          <w:rFonts w:eastAsia="Century Schoolbook"/>
          <w:color w:val="000000"/>
        </w:rPr>
        <w:t xml:space="preserve"> (3d ed. 1998) (involving </w:t>
      </w:r>
      <w:r w:rsidRPr="009F549F">
        <w:rPr>
          <w:rFonts w:eastAsia="Century Schoolbook"/>
          <w:color w:val="000000"/>
        </w:rPr>
        <w:t>corporate nonresident partners</w:t>
      </w:r>
      <w:r w:rsidRPr="00036097">
        <w:rPr>
          <w:rFonts w:eastAsia="Century Schoolbook"/>
          <w:color w:val="000000"/>
        </w:rPr>
        <w:t>, limited</w:t>
      </w:r>
      <w:r w:rsidRPr="009F549F">
        <w:rPr>
          <w:rFonts w:eastAsia="Century Schoolbook"/>
          <w:color w:val="000000"/>
        </w:rPr>
        <w:t xml:space="preserve"> partners</w:t>
      </w:r>
      <w:r w:rsidRPr="00036097">
        <w:rPr>
          <w:rFonts w:eastAsia="Century Schoolbook"/>
          <w:color w:val="000000"/>
        </w:rPr>
        <w:t xml:space="preserve">, and </w:t>
      </w:r>
      <w:r w:rsidRPr="009F549F">
        <w:rPr>
          <w:rFonts w:eastAsia="Century Schoolbook"/>
          <w:color w:val="000000"/>
        </w:rPr>
        <w:t>S corporation shareholders).</w:t>
      </w:r>
      <w:r w:rsidRPr="00036097">
        <w:rPr>
          <w:rFonts w:eastAsia="Century Schoolbook"/>
          <w:color w:val="000000"/>
        </w:rPr>
        <w:t xml:space="preserve"> </w:t>
      </w:r>
    </w:p>
  </w:footnote>
  <w:footnote w:id="250">
    <w:p w14:paraId="5512C7A4" w14:textId="44B3D992" w:rsidR="006E30B5" w:rsidRPr="009F549F" w:rsidRDefault="006E30B5">
      <w:pPr>
        <w:pBdr>
          <w:top w:val="nil"/>
          <w:left w:val="nil"/>
          <w:bottom w:val="nil"/>
          <w:right w:val="nil"/>
          <w:between w:val="nil"/>
        </w:pBdr>
        <w:rPr>
          <w:rFonts w:eastAsia="Century Schoolbook"/>
          <w:color w:val="000000"/>
        </w:rPr>
      </w:pPr>
      <w:r w:rsidRPr="009F549F">
        <w:rPr>
          <w:vertAlign w:val="superscript"/>
        </w:rPr>
        <w:footnoteRef/>
      </w:r>
      <w:r w:rsidRPr="009F549F">
        <w:rPr>
          <w:rFonts w:eastAsia="Century Schoolbook"/>
          <w:color w:val="000000"/>
        </w:rPr>
        <w:t xml:space="preserve"> </w:t>
      </w:r>
      <w:r w:rsidRPr="009F549F">
        <w:rPr>
          <w:rFonts w:eastAsia="Century Schoolbook"/>
          <w:i/>
          <w:color w:val="000000"/>
        </w:rPr>
        <w:t xml:space="preserve">See </w:t>
      </w:r>
      <w:r w:rsidRPr="009F549F">
        <w:rPr>
          <w:rFonts w:eastAsia="Century Schoolbook"/>
          <w:color w:val="000000"/>
        </w:rPr>
        <w:t>Galle et al</w:t>
      </w:r>
      <w:r w:rsidRPr="009F549F">
        <w:rPr>
          <w:rFonts w:eastAsia="Century Schoolbook"/>
          <w:i/>
          <w:color w:val="000000"/>
        </w:rPr>
        <w:t>.</w:t>
      </w:r>
      <w:r w:rsidRPr="009F549F">
        <w:rPr>
          <w:rFonts w:eastAsia="Century Schoolbook"/>
          <w:color w:val="000000"/>
        </w:rPr>
        <w:t>,</w:t>
      </w:r>
      <w:r w:rsidRPr="009F549F">
        <w:rPr>
          <w:rFonts w:eastAsia="Century Schoolbook"/>
          <w:i/>
          <w:color w:val="000000"/>
        </w:rPr>
        <w:t xml:space="preserve"> supra</w:t>
      </w:r>
      <w:r w:rsidRPr="009F549F">
        <w:rPr>
          <w:rFonts w:eastAsia="Century Schoolbook"/>
          <w:color w:val="000000"/>
        </w:rPr>
        <w:t xml:space="preserve"> note </w:t>
      </w:r>
      <w:r w:rsidRPr="00036097">
        <w:rPr>
          <w:rFonts w:eastAsia="Century Schoolbook"/>
          <w:color w:val="000000"/>
        </w:rPr>
        <w:fldChar w:fldCharType="begin"/>
      </w:r>
      <w:r w:rsidRPr="00036097">
        <w:rPr>
          <w:rFonts w:eastAsia="Century Schoolbook"/>
          <w:color w:val="000000"/>
        </w:rPr>
        <w:instrText xml:space="preserve"> NOTEREF _Ref115379713 \h  \* MERGEFORMAT </w:instrText>
      </w:r>
      <w:r w:rsidRPr="00036097">
        <w:rPr>
          <w:rFonts w:eastAsia="Century Schoolbook"/>
          <w:color w:val="000000"/>
        </w:rPr>
      </w:r>
      <w:r w:rsidRPr="00036097">
        <w:rPr>
          <w:rFonts w:eastAsia="Century Schoolbook"/>
          <w:color w:val="000000"/>
        </w:rPr>
        <w:fldChar w:fldCharType="separate"/>
      </w:r>
      <w:r>
        <w:rPr>
          <w:rFonts w:eastAsia="Century Schoolbook"/>
          <w:color w:val="000000"/>
        </w:rPr>
        <w:t>31</w:t>
      </w:r>
      <w:r w:rsidRPr="00036097">
        <w:rPr>
          <w:rFonts w:eastAsia="Century Schoolbook"/>
          <w:color w:val="000000"/>
        </w:rPr>
        <w:fldChar w:fldCharType="end"/>
      </w:r>
      <w:r w:rsidRPr="00036097">
        <w:rPr>
          <w:rFonts w:eastAsia="Century Schoolbook"/>
          <w:color w:val="000000"/>
        </w:rPr>
        <w:t xml:space="preserve">. </w:t>
      </w:r>
    </w:p>
  </w:footnote>
  <w:footnote w:id="251">
    <w:p w14:paraId="4C81D0EB" w14:textId="490812CD" w:rsidR="006E30B5" w:rsidRPr="009F549F" w:rsidRDefault="006E30B5">
      <w:pPr>
        <w:pBdr>
          <w:top w:val="nil"/>
          <w:left w:val="nil"/>
          <w:bottom w:val="nil"/>
          <w:right w:val="nil"/>
          <w:between w:val="nil"/>
        </w:pBdr>
        <w:rPr>
          <w:rFonts w:eastAsia="Century Schoolbook"/>
          <w:color w:val="000000"/>
        </w:rPr>
      </w:pPr>
      <w:r w:rsidRPr="009F549F">
        <w:rPr>
          <w:vertAlign w:val="superscript"/>
        </w:rPr>
        <w:footnoteRef/>
      </w:r>
      <w:r w:rsidRPr="009F549F">
        <w:rPr>
          <w:rFonts w:eastAsia="Century Schoolbook"/>
          <w:color w:val="000000"/>
        </w:rPr>
        <w:t xml:space="preserve"> </w:t>
      </w:r>
      <w:r w:rsidRPr="009F549F">
        <w:rPr>
          <w:rFonts w:eastAsia="Century Schoolbook"/>
          <w:i/>
          <w:color w:val="000000"/>
        </w:rPr>
        <w:t>Id.</w:t>
      </w:r>
      <w:r w:rsidRPr="00036097">
        <w:rPr>
          <w:rFonts w:eastAsia="Century Schoolbook"/>
          <w:i/>
          <w:color w:val="000000"/>
        </w:rPr>
        <w:t xml:space="preserve"> </w:t>
      </w:r>
    </w:p>
  </w:footnote>
  <w:footnote w:id="252">
    <w:p w14:paraId="2B38B3B8" w14:textId="2DFFB503" w:rsidR="006E30B5" w:rsidRPr="009F549F" w:rsidRDefault="006E30B5">
      <w:pPr>
        <w:pBdr>
          <w:top w:val="nil"/>
          <w:left w:val="nil"/>
          <w:bottom w:val="nil"/>
          <w:right w:val="nil"/>
          <w:between w:val="nil"/>
        </w:pBdr>
        <w:rPr>
          <w:rFonts w:eastAsia="Century Schoolbook"/>
          <w:i/>
          <w:color w:val="000000"/>
        </w:rPr>
      </w:pPr>
      <w:r w:rsidRPr="009F549F">
        <w:rPr>
          <w:vertAlign w:val="superscript"/>
        </w:rPr>
        <w:footnoteRef/>
      </w:r>
      <w:r w:rsidRPr="009F549F">
        <w:rPr>
          <w:rFonts w:eastAsia="Century Schoolbook"/>
          <w:color w:val="000000"/>
        </w:rPr>
        <w:t xml:space="preserve"> </w:t>
      </w:r>
      <w:r w:rsidRPr="007D6E99">
        <w:rPr>
          <w:rFonts w:ascii="Century Schoolbook" w:eastAsia="Century Schoolbook" w:hAnsi="Century Schoolbook" w:cs="Century Schoolbook"/>
          <w:i/>
          <w:color w:val="000000"/>
          <w:sz w:val="20"/>
          <w:szCs w:val="20"/>
        </w:rPr>
        <w:t>Id.</w:t>
      </w:r>
    </w:p>
  </w:footnote>
  <w:footnote w:id="253">
    <w:p w14:paraId="39536659" w14:textId="401A0228" w:rsidR="006E30B5" w:rsidRPr="009F549F" w:rsidRDefault="006E30B5">
      <w:pPr>
        <w:pBdr>
          <w:top w:val="nil"/>
          <w:left w:val="nil"/>
          <w:bottom w:val="nil"/>
          <w:right w:val="nil"/>
          <w:between w:val="nil"/>
        </w:pBdr>
        <w:rPr>
          <w:rFonts w:eastAsia="Century Schoolbook"/>
          <w:color w:val="000000"/>
        </w:rPr>
      </w:pPr>
      <w:r w:rsidRPr="009F549F">
        <w:rPr>
          <w:vertAlign w:val="superscript"/>
        </w:rPr>
        <w:footnoteRef/>
      </w:r>
      <w:r w:rsidRPr="009F549F">
        <w:rPr>
          <w:rFonts w:eastAsia="Century Schoolbook"/>
          <w:color w:val="000000"/>
        </w:rPr>
        <w:t xml:space="preserve"> </w:t>
      </w:r>
      <w:r w:rsidRPr="009F549F">
        <w:rPr>
          <w:rFonts w:eastAsia="Century Schoolbook"/>
          <w:i/>
          <w:color w:val="000000"/>
        </w:rPr>
        <w:t>See supra</w:t>
      </w:r>
      <w:r w:rsidRPr="009F549F">
        <w:rPr>
          <w:rFonts w:eastAsia="Century Schoolbook"/>
          <w:color w:val="000000"/>
        </w:rPr>
        <w:t xml:space="preserve"> Part </w:t>
      </w:r>
      <w:r w:rsidRPr="00D80D14">
        <w:rPr>
          <w:rFonts w:eastAsia="Century Schoolbook"/>
          <w:color w:val="000000"/>
        </w:rPr>
        <w:fldChar w:fldCharType="begin"/>
      </w:r>
      <w:r w:rsidRPr="00D80D14">
        <w:rPr>
          <w:rFonts w:eastAsia="Century Schoolbook"/>
          <w:color w:val="000000"/>
        </w:rPr>
        <w:instrText xml:space="preserve"> REF _Ref119430611 \h </w:instrText>
      </w:r>
      <w:r w:rsidRPr="009F549F">
        <w:rPr>
          <w:rFonts w:eastAsia="Century Schoolbook"/>
          <w:color w:val="000000"/>
        </w:rPr>
        <w:instrText xml:space="preserve"> \* MERGEFORMAT </w:instrText>
      </w:r>
      <w:r w:rsidRPr="00D80D14">
        <w:rPr>
          <w:rFonts w:eastAsia="Century Schoolbook"/>
          <w:color w:val="000000"/>
        </w:rPr>
      </w:r>
      <w:r w:rsidRPr="00D80D14">
        <w:rPr>
          <w:rFonts w:eastAsia="Century Schoolbook"/>
          <w:color w:val="000000"/>
        </w:rPr>
        <w:fldChar w:fldCharType="separate"/>
      </w:r>
      <w:r w:rsidRPr="009F549F">
        <w:t xml:space="preserve">B. </w:t>
      </w:r>
      <w:r w:rsidRPr="00C90F0B">
        <w:rPr>
          <w:i/>
        </w:rPr>
        <w:t>Formulaic Valuations and the Swiss Near-Miss</w:t>
      </w:r>
      <w:r w:rsidRPr="00D80D14">
        <w:rPr>
          <w:rFonts w:eastAsia="Century Schoolbook"/>
          <w:color w:val="000000"/>
        </w:rPr>
        <w:fldChar w:fldCharType="end"/>
      </w:r>
      <w:r w:rsidRPr="00D80D14">
        <w:rPr>
          <w:rFonts w:eastAsia="Century Schoolbook"/>
          <w:color w:val="000000"/>
        </w:rPr>
        <w:t>.</w:t>
      </w:r>
      <w:r w:rsidRPr="009F549F">
        <w:rPr>
          <w:rFonts w:eastAsia="Century Schoolbook"/>
          <w:color w:val="000000"/>
        </w:rPr>
        <w:t xml:space="preserve"> </w:t>
      </w:r>
    </w:p>
  </w:footnote>
  <w:footnote w:id="254">
    <w:p w14:paraId="4F8A2944" w14:textId="43F46C28" w:rsidR="006E30B5" w:rsidRPr="009F549F" w:rsidRDefault="006E30B5">
      <w:pPr>
        <w:pBdr>
          <w:top w:val="nil"/>
          <w:left w:val="nil"/>
          <w:bottom w:val="nil"/>
          <w:right w:val="nil"/>
          <w:between w:val="nil"/>
        </w:pBdr>
        <w:rPr>
          <w:rFonts w:eastAsia="Century Schoolbook"/>
          <w:color w:val="000000"/>
        </w:rPr>
      </w:pPr>
      <w:r w:rsidRPr="009F549F">
        <w:rPr>
          <w:vertAlign w:val="superscript"/>
        </w:rPr>
        <w:footnoteRef/>
      </w:r>
      <w:r w:rsidRPr="00036097">
        <w:rPr>
          <w:rFonts w:eastAsia="Century Schoolbook"/>
          <w:color w:val="000000"/>
        </w:rPr>
        <w:t xml:space="preserve"> </w:t>
      </w:r>
      <w:r w:rsidRPr="00036097">
        <w:rPr>
          <w:rFonts w:eastAsia="Century Schoolbook"/>
          <w:i/>
          <w:iCs/>
          <w:color w:val="000000"/>
        </w:rPr>
        <w:t>See</w:t>
      </w:r>
      <w:r w:rsidRPr="009F549F">
        <w:rPr>
          <w:rFonts w:eastAsia="Century Schoolbook"/>
          <w:i/>
          <w:color w:val="000000"/>
        </w:rPr>
        <w:t xml:space="preserve"> </w:t>
      </w:r>
      <w:r w:rsidRPr="009F549F">
        <w:rPr>
          <w:rFonts w:eastAsia="Century Schoolbook"/>
          <w:color w:val="000000"/>
        </w:rPr>
        <w:t xml:space="preserve">Lederman, </w:t>
      </w:r>
      <w:r w:rsidRPr="009F549F">
        <w:rPr>
          <w:rFonts w:eastAsia="Century Schoolbook"/>
          <w:i/>
          <w:color w:val="000000"/>
        </w:rPr>
        <w:t>supra</w:t>
      </w:r>
      <w:r w:rsidRPr="009F549F">
        <w:rPr>
          <w:rFonts w:eastAsia="Century Schoolbook"/>
          <w:color w:val="000000"/>
        </w:rPr>
        <w:t xml:space="preserve"> note </w:t>
      </w:r>
      <w:r>
        <w:rPr>
          <w:rFonts w:eastAsia="Century Schoolbook"/>
          <w:color w:val="000000"/>
        </w:rPr>
        <w:fldChar w:fldCharType="begin"/>
      </w:r>
      <w:r>
        <w:rPr>
          <w:rFonts w:eastAsia="Century Schoolbook"/>
          <w:color w:val="000000"/>
        </w:rPr>
        <w:instrText xml:space="preserve"> NOTEREF _Ref115603759 \h </w:instrText>
      </w:r>
      <w:r>
        <w:rPr>
          <w:rFonts w:eastAsia="Century Schoolbook"/>
          <w:color w:val="000000"/>
        </w:rPr>
      </w:r>
      <w:r>
        <w:rPr>
          <w:rFonts w:eastAsia="Century Schoolbook"/>
          <w:color w:val="000000"/>
        </w:rPr>
        <w:fldChar w:fldCharType="separate"/>
      </w:r>
      <w:r>
        <w:rPr>
          <w:rFonts w:eastAsia="Century Schoolbook"/>
          <w:color w:val="000000"/>
        </w:rPr>
        <w:t>17</w:t>
      </w:r>
      <w:r>
        <w:rPr>
          <w:rFonts w:eastAsia="Century Schoolbook"/>
          <w:color w:val="000000"/>
        </w:rPr>
        <w:fldChar w:fldCharType="end"/>
      </w:r>
      <w:r w:rsidRPr="00036097">
        <w:rPr>
          <w:rFonts w:eastAsia="Century Schoolbook"/>
          <w:color w:val="000000"/>
        </w:rPr>
        <w:t>, at 1497 (discussing the challenges of taxpayer valuation).</w:t>
      </w:r>
    </w:p>
  </w:footnote>
  <w:footnote w:id="255">
    <w:p w14:paraId="025DF3BE" w14:textId="2F968941" w:rsidR="006E30B5" w:rsidRPr="009F549F" w:rsidRDefault="006E30B5">
      <w:pPr>
        <w:pBdr>
          <w:top w:val="nil"/>
          <w:left w:val="nil"/>
          <w:bottom w:val="nil"/>
          <w:right w:val="nil"/>
          <w:between w:val="nil"/>
        </w:pBdr>
        <w:rPr>
          <w:rFonts w:eastAsia="Century Schoolbook"/>
          <w:color w:val="000000"/>
        </w:rPr>
      </w:pPr>
      <w:r w:rsidRPr="009F549F">
        <w:rPr>
          <w:vertAlign w:val="superscript"/>
        </w:rPr>
        <w:footnoteRef/>
      </w:r>
      <w:r w:rsidRPr="00036097">
        <w:rPr>
          <w:rFonts w:eastAsia="Century Schoolbook"/>
          <w:color w:val="000000"/>
        </w:rPr>
        <w:t xml:space="preserve"> </w:t>
      </w:r>
      <w:r w:rsidRPr="00036097">
        <w:rPr>
          <w:rFonts w:eastAsia="Century Schoolbook"/>
          <w:i/>
          <w:color w:val="000000"/>
        </w:rPr>
        <w:t>See supra</w:t>
      </w:r>
      <w:r w:rsidRPr="00036097">
        <w:rPr>
          <w:rFonts w:eastAsia="Century Schoolbook"/>
          <w:color w:val="000000"/>
        </w:rPr>
        <w:t xml:space="preserve"> Part </w:t>
      </w:r>
      <w:r w:rsidRPr="00D80D14">
        <w:rPr>
          <w:rFonts w:eastAsia="Century Schoolbook"/>
          <w:color w:val="000000"/>
        </w:rPr>
        <w:fldChar w:fldCharType="begin"/>
      </w:r>
      <w:r w:rsidRPr="00D80D14">
        <w:rPr>
          <w:rFonts w:eastAsia="Century Schoolbook"/>
          <w:color w:val="000000"/>
        </w:rPr>
        <w:instrText xml:space="preserve"> REF _Ref119430611 \h </w:instrText>
      </w:r>
      <w:r w:rsidRPr="00DA095A">
        <w:rPr>
          <w:rFonts w:eastAsia="Century Schoolbook"/>
          <w:color w:val="000000"/>
        </w:rPr>
        <w:instrText xml:space="preserve"> \* MERGEFORMAT </w:instrText>
      </w:r>
      <w:r w:rsidRPr="00D80D14">
        <w:rPr>
          <w:rFonts w:eastAsia="Century Schoolbook"/>
          <w:color w:val="000000"/>
        </w:rPr>
      </w:r>
      <w:r w:rsidRPr="00D80D14">
        <w:rPr>
          <w:rFonts w:eastAsia="Century Schoolbook"/>
          <w:color w:val="000000"/>
        </w:rPr>
        <w:fldChar w:fldCharType="separate"/>
      </w:r>
      <w:r w:rsidRPr="009F549F">
        <w:t xml:space="preserve">B. </w:t>
      </w:r>
      <w:r w:rsidRPr="00C90F0B">
        <w:rPr>
          <w:i/>
        </w:rPr>
        <w:t>Formulaic Valuations and the Swiss Near-Miss</w:t>
      </w:r>
      <w:r w:rsidRPr="00D80D14">
        <w:rPr>
          <w:rFonts w:eastAsia="Century Schoolbook"/>
          <w:color w:val="000000"/>
        </w:rPr>
        <w:fldChar w:fldCharType="end"/>
      </w:r>
      <w:r w:rsidRPr="00036097">
        <w:rPr>
          <w:rFonts w:eastAsia="Century Schoolbook"/>
          <w:color w:val="000000"/>
        </w:rPr>
        <w:t>.</w:t>
      </w:r>
    </w:p>
  </w:footnote>
  <w:footnote w:id="256">
    <w:p w14:paraId="695C71EC" w14:textId="0C22D72F" w:rsidR="006E30B5" w:rsidRPr="009F549F" w:rsidRDefault="006E30B5">
      <w:pPr>
        <w:pBdr>
          <w:top w:val="nil"/>
          <w:left w:val="nil"/>
          <w:bottom w:val="nil"/>
          <w:right w:val="nil"/>
          <w:between w:val="nil"/>
        </w:pBdr>
        <w:rPr>
          <w:rFonts w:eastAsia="Century Schoolbook"/>
          <w:color w:val="000000"/>
        </w:rPr>
      </w:pPr>
      <w:r w:rsidRPr="009F549F">
        <w:rPr>
          <w:vertAlign w:val="superscript"/>
        </w:rPr>
        <w:footnoteRef/>
      </w:r>
      <w:r w:rsidRPr="009F549F">
        <w:rPr>
          <w:rFonts w:eastAsia="Century Schoolbook"/>
          <w:color w:val="000000"/>
        </w:rPr>
        <w:t xml:space="preserve"> </w:t>
      </w:r>
      <w:r w:rsidRPr="009F549F">
        <w:rPr>
          <w:rFonts w:eastAsia="Century Schoolbook"/>
          <w:i/>
          <w:color w:val="000000"/>
        </w:rPr>
        <w:t>See</w:t>
      </w:r>
      <w:r w:rsidRPr="009F549F">
        <w:rPr>
          <w:rFonts w:eastAsia="Century Schoolbook"/>
          <w:color w:val="000000"/>
        </w:rPr>
        <w:t xml:space="preserve"> </w:t>
      </w:r>
      <w:r w:rsidRPr="009F549F">
        <w:rPr>
          <w:rFonts w:eastAsia="Century Schoolbook"/>
          <w:i/>
          <w:color w:val="000000"/>
        </w:rPr>
        <w:t>supra</w:t>
      </w:r>
      <w:r w:rsidRPr="009F549F">
        <w:rPr>
          <w:rFonts w:eastAsia="Century Schoolbook"/>
          <w:color w:val="000000"/>
        </w:rPr>
        <w:t xml:space="preserve"> </w:t>
      </w:r>
      <w:r w:rsidRPr="00036097">
        <w:rPr>
          <w:rFonts w:eastAsia="Century Schoolbook"/>
          <w:color w:val="000000"/>
        </w:rPr>
        <w:t xml:space="preserve">notes </w:t>
      </w:r>
      <w:r>
        <w:rPr>
          <w:rFonts w:eastAsia="Century Schoolbook"/>
          <w:color w:val="000000"/>
        </w:rPr>
        <w:t xml:space="preserve">251-252 </w:t>
      </w:r>
      <w:r w:rsidRPr="00036097">
        <w:rPr>
          <w:rFonts w:eastAsia="Century Schoolbook"/>
          <w:color w:val="000000"/>
        </w:rPr>
        <w:t>and</w:t>
      </w:r>
      <w:r w:rsidRPr="009F549F">
        <w:rPr>
          <w:rFonts w:eastAsia="Century Schoolbook"/>
          <w:color w:val="000000"/>
        </w:rPr>
        <w:t xml:space="preserve"> accompanying </w:t>
      </w:r>
      <w:r w:rsidRPr="00036097">
        <w:rPr>
          <w:rFonts w:eastAsia="Century Schoolbook"/>
          <w:color w:val="000000"/>
        </w:rPr>
        <w:t xml:space="preserve">text. </w:t>
      </w:r>
    </w:p>
  </w:footnote>
  <w:footnote w:id="257">
    <w:p w14:paraId="1A8B69E5" w14:textId="2FA5E47E" w:rsidR="006E30B5" w:rsidRPr="009F549F" w:rsidRDefault="006E30B5">
      <w:pPr>
        <w:pBdr>
          <w:top w:val="nil"/>
          <w:left w:val="nil"/>
          <w:bottom w:val="nil"/>
          <w:right w:val="nil"/>
          <w:between w:val="nil"/>
        </w:pBdr>
        <w:rPr>
          <w:rFonts w:eastAsia="Century Schoolbook"/>
          <w:color w:val="000000"/>
        </w:rPr>
      </w:pPr>
      <w:r w:rsidRPr="009F549F">
        <w:rPr>
          <w:vertAlign w:val="superscript"/>
        </w:rPr>
        <w:footnoteRef/>
      </w:r>
      <w:r w:rsidRPr="00036097">
        <w:rPr>
          <w:rFonts w:eastAsia="Century Schoolbook"/>
          <w:color w:val="000000"/>
        </w:rPr>
        <w:t xml:space="preserve"> </w:t>
      </w:r>
      <w:r w:rsidRPr="00036097">
        <w:rPr>
          <w:rFonts w:eastAsia="Century Schoolbook"/>
          <w:i/>
          <w:iCs/>
          <w:color w:val="000000"/>
        </w:rPr>
        <w:t>See</w:t>
      </w:r>
      <w:r w:rsidRPr="009F549F">
        <w:rPr>
          <w:rFonts w:eastAsia="Century Schoolbook"/>
          <w:i/>
          <w:color w:val="000000"/>
        </w:rPr>
        <w:t xml:space="preserve"> </w:t>
      </w:r>
      <w:r w:rsidRPr="009F549F">
        <w:rPr>
          <w:rFonts w:eastAsia="Century Schoolbook"/>
          <w:color w:val="000000"/>
        </w:rPr>
        <w:t>Gamage &amp; Brooks</w:t>
      </w:r>
      <w:r w:rsidRPr="009F549F">
        <w:rPr>
          <w:rFonts w:eastAsia="Century Schoolbook"/>
          <w:i/>
          <w:color w:val="000000"/>
        </w:rPr>
        <w:t>, supra</w:t>
      </w:r>
      <w:r w:rsidRPr="009F549F">
        <w:rPr>
          <w:rFonts w:eastAsia="Century Schoolbook"/>
          <w:color w:val="000000"/>
        </w:rPr>
        <w:t xml:space="preserve"> note </w:t>
      </w:r>
      <w:r w:rsidRPr="00036097">
        <w:rPr>
          <w:rFonts w:eastAsia="Century Schoolbook"/>
          <w:color w:val="000000"/>
        </w:rPr>
        <w:fldChar w:fldCharType="begin"/>
      </w:r>
      <w:r w:rsidRPr="00036097">
        <w:rPr>
          <w:rFonts w:eastAsia="Century Schoolbook"/>
          <w:color w:val="000000"/>
        </w:rPr>
        <w:instrText xml:space="preserve"> NOTEREF _Ref115336225 \h  \* MERGEFORMAT </w:instrText>
      </w:r>
      <w:r w:rsidRPr="00036097">
        <w:rPr>
          <w:rFonts w:eastAsia="Century Schoolbook"/>
          <w:color w:val="000000"/>
        </w:rPr>
      </w:r>
      <w:r w:rsidRPr="00036097">
        <w:rPr>
          <w:rFonts w:eastAsia="Century Schoolbook"/>
          <w:color w:val="000000"/>
        </w:rPr>
        <w:fldChar w:fldCharType="separate"/>
      </w:r>
      <w:r>
        <w:rPr>
          <w:rFonts w:eastAsia="Century Schoolbook"/>
          <w:color w:val="000000"/>
        </w:rPr>
        <w:t>6</w:t>
      </w:r>
      <w:r w:rsidRPr="00036097">
        <w:rPr>
          <w:rFonts w:eastAsia="Century Schoolbook"/>
          <w:color w:val="000000"/>
        </w:rPr>
        <w:fldChar w:fldCharType="end"/>
      </w:r>
      <w:r w:rsidRPr="00036097">
        <w:rPr>
          <w:rFonts w:eastAsia="Century Schoolbook"/>
          <w:color w:val="000000"/>
        </w:rPr>
        <w:t>, at 491 (discussing the issues with tax deferral in the U.S. tax system).</w:t>
      </w:r>
    </w:p>
  </w:footnote>
  <w:footnote w:id="258">
    <w:p w14:paraId="716A23AC" w14:textId="2604D99F" w:rsidR="006E30B5" w:rsidRPr="009F549F" w:rsidRDefault="006E30B5">
      <w:pPr>
        <w:pBdr>
          <w:top w:val="nil"/>
          <w:left w:val="nil"/>
          <w:bottom w:val="nil"/>
          <w:right w:val="nil"/>
          <w:between w:val="nil"/>
        </w:pBdr>
        <w:rPr>
          <w:rFonts w:eastAsia="Century Schoolbook"/>
          <w:color w:val="000000"/>
        </w:rPr>
      </w:pPr>
      <w:r w:rsidRPr="009F549F">
        <w:rPr>
          <w:vertAlign w:val="superscript"/>
        </w:rPr>
        <w:footnoteRef/>
      </w:r>
      <w:r w:rsidRPr="009F549F">
        <w:rPr>
          <w:rFonts w:eastAsia="Century Schoolbook"/>
          <w:color w:val="000000"/>
        </w:rPr>
        <w:t xml:space="preserve"> Galle et al.</w:t>
      </w:r>
      <w:r w:rsidRPr="009F549F">
        <w:rPr>
          <w:rFonts w:eastAsia="Century Schoolbook"/>
          <w:color w:val="000000"/>
        </w:rPr>
        <w:t>,</w:t>
      </w:r>
      <w:r w:rsidRPr="009F549F">
        <w:rPr>
          <w:rFonts w:eastAsia="Century Schoolbook"/>
          <w:i/>
          <w:color w:val="000000"/>
        </w:rPr>
        <w:t xml:space="preserve"> supra</w:t>
      </w:r>
      <w:r w:rsidRPr="009F549F">
        <w:rPr>
          <w:rFonts w:eastAsia="Century Schoolbook"/>
          <w:color w:val="000000"/>
        </w:rPr>
        <w:t xml:space="preserve"> note </w:t>
      </w:r>
      <w:r w:rsidRPr="00036097">
        <w:rPr>
          <w:rFonts w:eastAsia="Century Schoolbook"/>
          <w:color w:val="000000"/>
        </w:rPr>
        <w:fldChar w:fldCharType="begin"/>
      </w:r>
      <w:r w:rsidRPr="00036097">
        <w:rPr>
          <w:rFonts w:eastAsia="Century Schoolbook"/>
          <w:color w:val="000000"/>
        </w:rPr>
        <w:instrText xml:space="preserve"> NOTEREF _Ref115379713 \h  \* MERGEFORMAT </w:instrText>
      </w:r>
      <w:r w:rsidRPr="00036097">
        <w:rPr>
          <w:rFonts w:eastAsia="Century Schoolbook"/>
          <w:color w:val="000000"/>
        </w:rPr>
      </w:r>
      <w:r w:rsidRPr="00036097">
        <w:rPr>
          <w:rFonts w:eastAsia="Century Schoolbook"/>
          <w:color w:val="000000"/>
        </w:rPr>
        <w:fldChar w:fldCharType="separate"/>
      </w:r>
      <w:r>
        <w:rPr>
          <w:rFonts w:eastAsia="Century Schoolbook"/>
          <w:color w:val="000000"/>
        </w:rPr>
        <w:t>31</w:t>
      </w:r>
      <w:r w:rsidRPr="00036097">
        <w:rPr>
          <w:rFonts w:eastAsia="Century Schoolbook"/>
          <w:color w:val="000000"/>
        </w:rPr>
        <w:fldChar w:fldCharType="end"/>
      </w:r>
      <w:r w:rsidRPr="00036097">
        <w:rPr>
          <w:rFonts w:eastAsia="Century Schoolbook"/>
          <w:color w:val="000000"/>
        </w:rPr>
        <w:t xml:space="preserve">. </w:t>
      </w:r>
    </w:p>
  </w:footnote>
  <w:footnote w:id="259">
    <w:p w14:paraId="0FE76124" w14:textId="231D60F6" w:rsidR="006E30B5" w:rsidRPr="009F549F" w:rsidRDefault="006E30B5">
      <w:pPr>
        <w:pBdr>
          <w:top w:val="nil"/>
          <w:left w:val="nil"/>
          <w:bottom w:val="nil"/>
          <w:right w:val="nil"/>
          <w:between w:val="nil"/>
        </w:pBdr>
        <w:rPr>
          <w:rFonts w:eastAsia="Century Schoolbook"/>
          <w:color w:val="000000"/>
        </w:rPr>
      </w:pPr>
      <w:r w:rsidRPr="009F549F">
        <w:rPr>
          <w:vertAlign w:val="superscript"/>
        </w:rPr>
        <w:footnoteRef/>
      </w:r>
      <w:r w:rsidRPr="009F549F">
        <w:rPr>
          <w:rFonts w:eastAsia="Century Schoolbook"/>
          <w:color w:val="000000"/>
        </w:rPr>
        <w:t xml:space="preserve"> For taxpayers not qualifying for the special allowances for liquidity constraints, </w:t>
      </w:r>
      <w:r w:rsidRPr="00036097">
        <w:rPr>
          <w:rFonts w:eastAsia="Century Schoolbook"/>
          <w:color w:val="000000"/>
        </w:rPr>
        <w:t>prepayment</w:t>
      </w:r>
      <w:r w:rsidRPr="009F549F">
        <w:rPr>
          <w:rFonts w:eastAsia="Century Schoolbook"/>
          <w:color w:val="000000"/>
        </w:rPr>
        <w:t xml:space="preserve"> of estimated taxes would be required.</w:t>
      </w:r>
    </w:p>
  </w:footnote>
  <w:footnote w:id="260">
    <w:p w14:paraId="3A866C08" w14:textId="3AD210E1" w:rsidR="006E30B5" w:rsidRPr="009F549F" w:rsidRDefault="006E30B5">
      <w:pPr>
        <w:pBdr>
          <w:top w:val="nil"/>
          <w:left w:val="nil"/>
          <w:bottom w:val="nil"/>
          <w:right w:val="nil"/>
          <w:between w:val="nil"/>
        </w:pBdr>
        <w:rPr>
          <w:rFonts w:eastAsia="Century Schoolbook"/>
          <w:color w:val="000000"/>
        </w:rPr>
      </w:pPr>
      <w:r w:rsidRPr="009F549F">
        <w:rPr>
          <w:vertAlign w:val="superscript"/>
        </w:rPr>
        <w:footnoteRef/>
      </w:r>
      <w:r w:rsidRPr="00036097">
        <w:rPr>
          <w:rFonts w:eastAsia="Century Schoolbook"/>
          <w:color w:val="000000"/>
        </w:rPr>
        <w:t xml:space="preserve"> </w:t>
      </w:r>
      <w:r w:rsidRPr="00036097">
        <w:rPr>
          <w:rFonts w:eastAsia="Century Schoolbook"/>
          <w:i/>
          <w:iCs/>
          <w:color w:val="000000"/>
        </w:rPr>
        <w:t>See, e.g.</w:t>
      </w:r>
      <w:r w:rsidRPr="00D543CC">
        <w:rPr>
          <w:rFonts w:eastAsia="Century Schoolbook"/>
          <w:color w:val="000000"/>
        </w:rPr>
        <w:t>,</w:t>
      </w:r>
      <w:r w:rsidRPr="009F549F">
        <w:rPr>
          <w:rFonts w:eastAsia="Century Schoolbook"/>
          <w:color w:val="000000"/>
        </w:rPr>
        <w:t xml:space="preserve"> Edward D. </w:t>
      </w:r>
      <w:proofErr w:type="spellStart"/>
      <w:r w:rsidRPr="009F549F">
        <w:rPr>
          <w:rFonts w:eastAsia="Century Schoolbook"/>
          <w:color w:val="000000"/>
        </w:rPr>
        <w:t>Kleinbard</w:t>
      </w:r>
      <w:proofErr w:type="spellEnd"/>
      <w:r w:rsidRPr="009F549F">
        <w:rPr>
          <w:rFonts w:eastAsia="Century Schoolbook"/>
          <w:color w:val="000000"/>
        </w:rPr>
        <w:t xml:space="preserve">, </w:t>
      </w:r>
      <w:r w:rsidRPr="009F549F">
        <w:rPr>
          <w:rFonts w:eastAsia="Century Schoolbook"/>
          <w:i/>
          <w:color w:val="000000"/>
        </w:rPr>
        <w:t>The Right Tax at the Right Time</w:t>
      </w:r>
      <w:r w:rsidRPr="009F549F">
        <w:rPr>
          <w:rFonts w:eastAsia="Century Schoolbook"/>
          <w:color w:val="000000"/>
        </w:rPr>
        <w:t xml:space="preserve">, 21 </w:t>
      </w:r>
      <w:r w:rsidRPr="009F549F">
        <w:rPr>
          <w:rFonts w:eastAsia="Century Schoolbook"/>
          <w:smallCaps/>
          <w:color w:val="000000"/>
        </w:rPr>
        <w:t>Fla. Tax Rev.</w:t>
      </w:r>
      <w:r w:rsidRPr="009F549F">
        <w:rPr>
          <w:rFonts w:eastAsia="Century Schoolbook"/>
          <w:color w:val="000000"/>
        </w:rPr>
        <w:t xml:space="preserve"> </w:t>
      </w:r>
      <w:r w:rsidRPr="009F549F">
        <w:rPr>
          <w:rFonts w:eastAsia="Century Schoolbook"/>
          <w:color w:val="000000"/>
        </w:rPr>
        <w:t>208, 345 (2017</w:t>
      </w:r>
      <w:r w:rsidRPr="00036097">
        <w:rPr>
          <w:rFonts w:eastAsia="Century Schoolbook"/>
          <w:color w:val="000000"/>
        </w:rPr>
        <w:t>) (</w:t>
      </w:r>
      <w:r>
        <w:rPr>
          <w:rFonts w:eastAsia="Century Schoolbook"/>
          <w:color w:val="000000"/>
        </w:rPr>
        <w:t>suggesting</w:t>
      </w:r>
      <w:r w:rsidRPr="00036097">
        <w:rPr>
          <w:rFonts w:eastAsia="Century Schoolbook"/>
          <w:color w:val="000000"/>
        </w:rPr>
        <w:t xml:space="preserve"> that there does not appear to be a practical advantage to implementing a wealth tax </w:t>
      </w:r>
      <w:r>
        <w:rPr>
          <w:rFonts w:eastAsia="Century Schoolbook"/>
          <w:color w:val="000000"/>
        </w:rPr>
        <w:t>because</w:t>
      </w:r>
      <w:r w:rsidRPr="00036097">
        <w:rPr>
          <w:rFonts w:eastAsia="Century Schoolbook"/>
          <w:color w:val="000000"/>
        </w:rPr>
        <w:t xml:space="preserve"> of observation and valuation</w:t>
      </w:r>
      <w:r>
        <w:rPr>
          <w:rFonts w:eastAsia="Century Schoolbook"/>
          <w:color w:val="000000"/>
        </w:rPr>
        <w:t xml:space="preserve"> problems</w:t>
      </w:r>
      <w:r w:rsidRPr="009F549F">
        <w:rPr>
          <w:rFonts w:eastAsia="Century Schoolbook"/>
          <w:color w:val="000000"/>
        </w:rPr>
        <w:t>).</w:t>
      </w:r>
    </w:p>
  </w:footnote>
  <w:footnote w:id="261">
    <w:p w14:paraId="51EB5376" w14:textId="27DE6D91" w:rsidR="006E30B5" w:rsidRPr="009F549F" w:rsidRDefault="006E30B5">
      <w:pPr>
        <w:pBdr>
          <w:top w:val="nil"/>
          <w:left w:val="nil"/>
          <w:bottom w:val="nil"/>
          <w:right w:val="nil"/>
          <w:between w:val="nil"/>
        </w:pBdr>
        <w:rPr>
          <w:rFonts w:eastAsia="Century Schoolbook"/>
          <w:color w:val="000000"/>
        </w:rPr>
      </w:pPr>
      <w:r w:rsidRPr="009F549F">
        <w:rPr>
          <w:vertAlign w:val="superscript"/>
        </w:rPr>
        <w:footnoteRef/>
      </w:r>
      <w:r w:rsidRPr="009F549F">
        <w:rPr>
          <w:rFonts w:eastAsia="Century Schoolbook"/>
          <w:color w:val="000000"/>
        </w:rPr>
        <w:t xml:space="preserve"> David Gamage, Ari Glogower</w:t>
      </w:r>
      <w:r w:rsidRPr="007D6E99">
        <w:rPr>
          <w:rFonts w:ascii="Century Schoolbook" w:eastAsia="Century Schoolbook" w:hAnsi="Century Schoolbook" w:cs="Century Schoolbook"/>
          <w:color w:val="000000"/>
          <w:sz w:val="20"/>
          <w:szCs w:val="20"/>
        </w:rPr>
        <w:t>,</w:t>
      </w:r>
      <w:r w:rsidRPr="009F549F">
        <w:rPr>
          <w:rFonts w:eastAsia="Century Schoolbook"/>
          <w:color w:val="000000"/>
        </w:rPr>
        <w:t xml:space="preserve"> &amp; Kitty Richards, </w:t>
      </w:r>
      <w:r w:rsidRPr="009F549F">
        <w:rPr>
          <w:rFonts w:eastAsia="Century Schoolbook"/>
          <w:i/>
          <w:color w:val="000000"/>
        </w:rPr>
        <w:t xml:space="preserve">How </w:t>
      </w:r>
      <w:r w:rsidRPr="00036097">
        <w:rPr>
          <w:rFonts w:eastAsia="Century Schoolbook"/>
          <w:i/>
          <w:color w:val="000000"/>
        </w:rPr>
        <w:t>To</w:t>
      </w:r>
      <w:r w:rsidRPr="009F549F">
        <w:rPr>
          <w:rFonts w:eastAsia="Century Schoolbook"/>
          <w:i/>
          <w:color w:val="000000"/>
        </w:rPr>
        <w:t xml:space="preserve"> Measure and Value Wealth for a Federal Wealth Tax Reform</w:t>
      </w:r>
      <w:r w:rsidRPr="009F549F">
        <w:rPr>
          <w:rFonts w:eastAsia="Century Schoolbook"/>
          <w:color w:val="000000"/>
        </w:rPr>
        <w:t xml:space="preserve">, </w:t>
      </w:r>
      <w:r w:rsidRPr="009F549F">
        <w:rPr>
          <w:rFonts w:eastAsia="Century Schoolbook"/>
          <w:smallCaps/>
          <w:color w:val="000000"/>
        </w:rPr>
        <w:t>Roosevelt Inst. Issue Brief</w:t>
      </w:r>
      <w:r w:rsidRPr="009F549F">
        <w:rPr>
          <w:rFonts w:eastAsia="Century Schoolbook"/>
          <w:color w:val="000000"/>
        </w:rPr>
        <w:t xml:space="preserve"> at 21 (2021).</w:t>
      </w:r>
      <w:r w:rsidRPr="00036097">
        <w:rPr>
          <w:rFonts w:eastAsia="Century Schoolbook"/>
          <w:color w:val="000000"/>
        </w:rPr>
        <w:t xml:space="preserve"> </w:t>
      </w:r>
    </w:p>
  </w:footnote>
  <w:footnote w:id="262">
    <w:p w14:paraId="4BEDA691" w14:textId="272B1F91" w:rsidR="006E30B5" w:rsidRPr="009F549F" w:rsidRDefault="006E30B5">
      <w:pPr>
        <w:pBdr>
          <w:top w:val="nil"/>
          <w:left w:val="nil"/>
          <w:bottom w:val="nil"/>
          <w:right w:val="nil"/>
          <w:between w:val="nil"/>
        </w:pBdr>
        <w:rPr>
          <w:rFonts w:eastAsia="Century Schoolbook"/>
          <w:color w:val="000000"/>
        </w:rPr>
      </w:pPr>
      <w:r w:rsidRPr="009F549F">
        <w:rPr>
          <w:vertAlign w:val="superscript"/>
        </w:rPr>
        <w:footnoteRef/>
      </w:r>
      <w:r w:rsidRPr="00036097">
        <w:rPr>
          <w:rFonts w:eastAsia="Century Schoolbook"/>
          <w:color w:val="000000"/>
        </w:rPr>
        <w:t xml:space="preserve"> </w:t>
      </w:r>
      <w:r w:rsidRPr="00036097">
        <w:rPr>
          <w:rFonts w:eastAsia="Century Schoolbook"/>
          <w:i/>
          <w:iCs/>
          <w:color w:val="000000"/>
        </w:rPr>
        <w:t>See</w:t>
      </w:r>
      <w:r w:rsidRPr="009F549F">
        <w:rPr>
          <w:rFonts w:eastAsia="Century Schoolbook"/>
          <w:i/>
          <w:color w:val="000000"/>
        </w:rPr>
        <w:t xml:space="preserve"> </w:t>
      </w:r>
      <w:r w:rsidRPr="009F549F">
        <w:rPr>
          <w:rFonts w:eastAsia="Century Schoolbook"/>
          <w:color w:val="000000"/>
        </w:rPr>
        <w:t>Gamage &amp; Brooks</w:t>
      </w:r>
      <w:r w:rsidRPr="009F549F">
        <w:rPr>
          <w:rFonts w:eastAsia="Century Schoolbook"/>
          <w:i/>
          <w:color w:val="000000"/>
        </w:rPr>
        <w:t>, supra</w:t>
      </w:r>
      <w:r w:rsidRPr="009F549F">
        <w:rPr>
          <w:rFonts w:eastAsia="Century Schoolbook"/>
          <w:color w:val="000000"/>
        </w:rPr>
        <w:t xml:space="preserve"> note </w:t>
      </w:r>
      <w:r w:rsidRPr="00036097">
        <w:rPr>
          <w:rFonts w:eastAsia="Century Schoolbook"/>
          <w:color w:val="000000"/>
        </w:rPr>
        <w:fldChar w:fldCharType="begin"/>
      </w:r>
      <w:r w:rsidRPr="00036097">
        <w:rPr>
          <w:rFonts w:eastAsia="Century Schoolbook"/>
          <w:color w:val="000000"/>
        </w:rPr>
        <w:instrText xml:space="preserve"> NOTEREF _Ref115336225 \h  \* MERGEFORMAT </w:instrText>
      </w:r>
      <w:r w:rsidRPr="00036097">
        <w:rPr>
          <w:rFonts w:eastAsia="Century Schoolbook"/>
          <w:color w:val="000000"/>
        </w:rPr>
      </w:r>
      <w:r w:rsidRPr="00036097">
        <w:rPr>
          <w:rFonts w:eastAsia="Century Schoolbook"/>
          <w:color w:val="000000"/>
        </w:rPr>
        <w:fldChar w:fldCharType="separate"/>
      </w:r>
      <w:r>
        <w:rPr>
          <w:rFonts w:eastAsia="Century Schoolbook"/>
          <w:color w:val="000000"/>
        </w:rPr>
        <w:t>6</w:t>
      </w:r>
      <w:r w:rsidRPr="00036097">
        <w:rPr>
          <w:rFonts w:eastAsia="Century Schoolbook"/>
          <w:color w:val="000000"/>
        </w:rPr>
        <w:fldChar w:fldCharType="end"/>
      </w:r>
      <w:r w:rsidRPr="00036097">
        <w:rPr>
          <w:rFonts w:eastAsia="Century Schoolbook"/>
          <w:color w:val="000000"/>
        </w:rPr>
        <w:t>,</w:t>
      </w:r>
      <w:r w:rsidRPr="009F549F">
        <w:rPr>
          <w:rFonts w:eastAsia="Century Schoolbook"/>
          <w:color w:val="000000"/>
        </w:rPr>
        <w:t xml:space="preserve"> at </w:t>
      </w:r>
      <w:r w:rsidRPr="00036097">
        <w:rPr>
          <w:rFonts w:eastAsia="Century Schoolbook"/>
          <w:color w:val="000000"/>
        </w:rPr>
        <w:t xml:space="preserve">493 (discussing various proposals </w:t>
      </w:r>
      <w:r>
        <w:rPr>
          <w:rFonts w:eastAsia="Century Schoolbook"/>
          <w:color w:val="000000"/>
        </w:rPr>
        <w:t>to alter the</w:t>
      </w:r>
      <w:r w:rsidRPr="00036097">
        <w:rPr>
          <w:rFonts w:eastAsia="Century Schoolbook"/>
          <w:color w:val="000000"/>
        </w:rPr>
        <w:t xml:space="preserve"> existing tax system, including wealth tax reforms)</w:t>
      </w:r>
      <w:r w:rsidRPr="009F549F">
        <w:rPr>
          <w:rFonts w:eastAsia="Century Schoolbook"/>
          <w:color w:val="000000"/>
        </w:rPr>
        <w:t>.</w:t>
      </w:r>
      <w:r w:rsidRPr="00036097">
        <w:rPr>
          <w:rFonts w:eastAsia="Century Schoolbook"/>
          <w:color w:val="000000"/>
        </w:rPr>
        <w:t xml:space="preserve"> </w:t>
      </w:r>
    </w:p>
  </w:footnote>
  <w:footnote w:id="263">
    <w:p w14:paraId="771BD433" w14:textId="6F79CAEF" w:rsidR="006E30B5" w:rsidRPr="009F549F" w:rsidRDefault="006E30B5">
      <w:pPr>
        <w:pBdr>
          <w:top w:val="nil"/>
          <w:left w:val="nil"/>
          <w:bottom w:val="nil"/>
          <w:right w:val="nil"/>
          <w:between w:val="nil"/>
        </w:pBdr>
        <w:rPr>
          <w:rFonts w:eastAsia="Century Schoolbook"/>
          <w:color w:val="000000"/>
        </w:rPr>
      </w:pPr>
      <w:r w:rsidRPr="009F549F">
        <w:rPr>
          <w:vertAlign w:val="superscript"/>
        </w:rPr>
        <w:footnoteRef/>
      </w:r>
      <w:r w:rsidRPr="009F549F">
        <w:rPr>
          <w:rFonts w:eastAsia="Century Schoolbook"/>
          <w:color w:val="000000"/>
        </w:rPr>
        <w:t xml:space="preserve"> </w:t>
      </w:r>
      <w:r w:rsidRPr="009F549F">
        <w:rPr>
          <w:rFonts w:eastAsia="Century Schoolbook"/>
          <w:i/>
          <w:color w:val="000000"/>
        </w:rPr>
        <w:t>E.g.</w:t>
      </w:r>
      <w:r w:rsidRPr="009F549F">
        <w:rPr>
          <w:rFonts w:eastAsia="Century Schoolbook"/>
          <w:color w:val="000000"/>
        </w:rPr>
        <w:t>,</w:t>
      </w:r>
      <w:r w:rsidRPr="009F549F">
        <w:rPr>
          <w:rFonts w:eastAsia="Century Schoolbook"/>
          <w:i/>
          <w:color w:val="000000"/>
        </w:rPr>
        <w:t xml:space="preserve"> </w:t>
      </w:r>
      <w:r w:rsidRPr="009F549F">
        <w:rPr>
          <w:rFonts w:eastAsia="Century Schoolbook"/>
          <w:color w:val="000000"/>
        </w:rPr>
        <w:t xml:space="preserve">William </w:t>
      </w:r>
      <w:proofErr w:type="spellStart"/>
      <w:r w:rsidRPr="009F549F">
        <w:rPr>
          <w:rFonts w:eastAsia="Century Schoolbook"/>
          <w:color w:val="000000"/>
        </w:rPr>
        <w:t>Vickrey</w:t>
      </w:r>
      <w:proofErr w:type="spellEnd"/>
      <w:r w:rsidRPr="009F549F">
        <w:rPr>
          <w:rFonts w:eastAsia="Century Schoolbook"/>
          <w:color w:val="000000"/>
        </w:rPr>
        <w:t>,</w:t>
      </w:r>
      <w:r w:rsidRPr="009F549F">
        <w:rPr>
          <w:rFonts w:eastAsia="Century Schoolbook"/>
          <w:i/>
          <w:color w:val="000000"/>
        </w:rPr>
        <w:t xml:space="preserve"> Averaging of Income for Income-Tax Purposes, </w:t>
      </w:r>
      <w:r w:rsidRPr="009F549F">
        <w:rPr>
          <w:rFonts w:eastAsia="Century Schoolbook"/>
          <w:color w:val="000000"/>
        </w:rPr>
        <w:t xml:space="preserve">47 </w:t>
      </w:r>
      <w:r w:rsidRPr="009F549F">
        <w:rPr>
          <w:rFonts w:eastAsia="Century Schoolbook"/>
          <w:smallCaps/>
          <w:color w:val="000000"/>
        </w:rPr>
        <w:t xml:space="preserve">J. Pol. Econ. </w:t>
      </w:r>
      <w:r w:rsidRPr="009F549F">
        <w:rPr>
          <w:rFonts w:eastAsia="Century Schoolbook"/>
          <w:color w:val="000000"/>
        </w:rPr>
        <w:t>379, 381 (1939).</w:t>
      </w:r>
      <w:r w:rsidRPr="00036097">
        <w:rPr>
          <w:rFonts w:eastAsia="Century Schoolbook"/>
          <w:color w:val="000000"/>
        </w:rPr>
        <w:t xml:space="preserve"> </w:t>
      </w:r>
    </w:p>
  </w:footnote>
  <w:footnote w:id="264">
    <w:p w14:paraId="01A8AC55" w14:textId="4EAEE869" w:rsidR="006E30B5" w:rsidRPr="009F549F" w:rsidRDefault="006E30B5">
      <w:pPr>
        <w:pBdr>
          <w:top w:val="nil"/>
          <w:left w:val="nil"/>
          <w:bottom w:val="nil"/>
          <w:right w:val="nil"/>
          <w:between w:val="nil"/>
        </w:pBdr>
        <w:rPr>
          <w:rFonts w:eastAsia="Century Schoolbook"/>
          <w:color w:val="000000"/>
        </w:rPr>
      </w:pPr>
      <w:r w:rsidRPr="009F549F">
        <w:rPr>
          <w:vertAlign w:val="superscript"/>
        </w:rPr>
        <w:footnoteRef/>
      </w:r>
      <w:r w:rsidRPr="009F549F">
        <w:rPr>
          <w:rFonts w:eastAsia="Century Schoolbook"/>
          <w:color w:val="000000"/>
        </w:rPr>
        <w:t xml:space="preserve"> </w:t>
      </w:r>
      <w:proofErr w:type="spellStart"/>
      <w:r w:rsidRPr="009F549F">
        <w:rPr>
          <w:rFonts w:eastAsia="Century Schoolbook"/>
          <w:color w:val="000000"/>
        </w:rPr>
        <w:t>Glogower</w:t>
      </w:r>
      <w:proofErr w:type="spellEnd"/>
      <w:r w:rsidRPr="009F549F">
        <w:rPr>
          <w:rFonts w:eastAsia="Century Schoolbook"/>
          <w:color w:val="000000"/>
        </w:rPr>
        <w:t xml:space="preserve">, </w:t>
      </w:r>
      <w:r w:rsidRPr="009F549F">
        <w:rPr>
          <w:rFonts w:eastAsia="Century Schoolbook"/>
          <w:i/>
          <w:color w:val="000000"/>
        </w:rPr>
        <w:t>supra</w:t>
      </w:r>
      <w:r w:rsidRPr="009F549F">
        <w:rPr>
          <w:rFonts w:eastAsia="Century Schoolbook"/>
          <w:color w:val="000000"/>
        </w:rPr>
        <w:t xml:space="preserve"> note </w:t>
      </w:r>
      <w:r w:rsidRPr="00036097">
        <w:rPr>
          <w:rFonts w:eastAsia="Century Schoolbook"/>
          <w:color w:val="000000"/>
        </w:rPr>
        <w:fldChar w:fldCharType="begin"/>
      </w:r>
      <w:r w:rsidRPr="00036097">
        <w:rPr>
          <w:rFonts w:eastAsia="Century Schoolbook"/>
          <w:color w:val="000000"/>
        </w:rPr>
        <w:instrText xml:space="preserve"> NOTEREF _Ref115603608 \h  \* MERGEFORMAT </w:instrText>
      </w:r>
      <w:r w:rsidRPr="00036097">
        <w:rPr>
          <w:rFonts w:eastAsia="Century Schoolbook"/>
          <w:color w:val="000000"/>
        </w:rPr>
      </w:r>
      <w:r w:rsidRPr="00036097">
        <w:rPr>
          <w:rFonts w:eastAsia="Century Schoolbook"/>
          <w:color w:val="000000"/>
        </w:rPr>
        <w:fldChar w:fldCharType="separate"/>
      </w:r>
      <w:r>
        <w:rPr>
          <w:rFonts w:eastAsia="Century Schoolbook"/>
          <w:color w:val="000000"/>
        </w:rPr>
        <w:t>64</w:t>
      </w:r>
      <w:r w:rsidRPr="00036097">
        <w:rPr>
          <w:rFonts w:eastAsia="Century Schoolbook"/>
          <w:color w:val="000000"/>
        </w:rPr>
        <w:fldChar w:fldCharType="end"/>
      </w:r>
      <w:r w:rsidRPr="00036097">
        <w:rPr>
          <w:rFonts w:eastAsia="Century Schoolbook"/>
          <w:color w:val="000000"/>
        </w:rPr>
        <w:t>,</w:t>
      </w:r>
      <w:r w:rsidRPr="009F549F">
        <w:rPr>
          <w:rFonts w:eastAsia="Century Schoolbook"/>
          <w:color w:val="000000"/>
        </w:rPr>
        <w:t xml:space="preserve"> at 113.</w:t>
      </w:r>
      <w:r w:rsidRPr="00036097">
        <w:rPr>
          <w:rFonts w:eastAsia="Century Schoolbook"/>
          <w:color w:val="000000"/>
        </w:rPr>
        <w:t xml:space="preserve"> </w:t>
      </w:r>
    </w:p>
  </w:footnote>
  <w:footnote w:id="265">
    <w:p w14:paraId="3EE7D979" w14:textId="28A6AE89" w:rsidR="006E30B5" w:rsidRPr="009F549F" w:rsidRDefault="006E30B5">
      <w:pPr>
        <w:pBdr>
          <w:top w:val="nil"/>
          <w:left w:val="nil"/>
          <w:bottom w:val="nil"/>
          <w:right w:val="nil"/>
          <w:between w:val="nil"/>
        </w:pBdr>
        <w:rPr>
          <w:rFonts w:eastAsia="Century Schoolbook"/>
          <w:color w:val="000000"/>
        </w:rPr>
      </w:pPr>
      <w:r w:rsidRPr="009F549F">
        <w:rPr>
          <w:vertAlign w:val="superscript"/>
        </w:rPr>
        <w:footnoteRef/>
      </w:r>
      <w:r w:rsidRPr="00036097">
        <w:rPr>
          <w:rFonts w:eastAsia="Century Schoolbook"/>
          <w:color w:val="000000"/>
        </w:rPr>
        <w:t xml:space="preserve"> </w:t>
      </w:r>
      <w:r w:rsidRPr="00036097">
        <w:rPr>
          <w:rFonts w:eastAsia="Century Schoolbook"/>
          <w:i/>
          <w:iCs/>
          <w:color w:val="000000"/>
        </w:rPr>
        <w:t xml:space="preserve">See </w:t>
      </w:r>
      <w:r w:rsidRPr="00036097">
        <w:rPr>
          <w:rFonts w:eastAsia="Century Schoolbook"/>
          <w:color w:val="000000"/>
        </w:rPr>
        <w:t>Schenk</w:t>
      </w:r>
      <w:r w:rsidRPr="00036097">
        <w:rPr>
          <w:rFonts w:eastAsia="Century Schoolbook"/>
          <w:i/>
          <w:color w:val="000000"/>
        </w:rPr>
        <w:t>, supra</w:t>
      </w:r>
      <w:r w:rsidRPr="00036097">
        <w:rPr>
          <w:rFonts w:eastAsia="Century Schoolbook"/>
          <w:color w:val="000000"/>
        </w:rPr>
        <w:t xml:space="preserve"> note </w:t>
      </w:r>
      <w:r w:rsidRPr="00036097">
        <w:rPr>
          <w:rFonts w:eastAsia="Century Schoolbook"/>
          <w:color w:val="000000"/>
        </w:rPr>
        <w:fldChar w:fldCharType="begin"/>
      </w:r>
      <w:r w:rsidRPr="00036097">
        <w:rPr>
          <w:rFonts w:eastAsia="Century Schoolbook"/>
          <w:color w:val="000000"/>
        </w:rPr>
        <w:instrText xml:space="preserve"> NOTEREF _Ref115604338 \h  \* MERGEFORMAT </w:instrText>
      </w:r>
      <w:r w:rsidRPr="00036097">
        <w:rPr>
          <w:rFonts w:eastAsia="Century Schoolbook"/>
          <w:color w:val="000000"/>
        </w:rPr>
      </w:r>
      <w:r w:rsidRPr="00036097">
        <w:rPr>
          <w:rFonts w:eastAsia="Century Schoolbook"/>
          <w:color w:val="000000"/>
        </w:rPr>
        <w:fldChar w:fldCharType="separate"/>
      </w:r>
      <w:r>
        <w:rPr>
          <w:rFonts w:eastAsia="Century Schoolbook"/>
          <w:color w:val="000000"/>
        </w:rPr>
        <w:t>53</w:t>
      </w:r>
      <w:r w:rsidRPr="00036097">
        <w:rPr>
          <w:rFonts w:eastAsia="Century Schoolbook"/>
          <w:color w:val="000000"/>
        </w:rPr>
        <w:fldChar w:fldCharType="end"/>
      </w:r>
      <w:r w:rsidRPr="00036097">
        <w:rPr>
          <w:rFonts w:eastAsia="Century Schoolbook"/>
          <w:color w:val="000000"/>
        </w:rPr>
        <w:t>, at 503</w:t>
      </w:r>
      <w:r>
        <w:rPr>
          <w:rFonts w:eastAsia="Century Schoolbook"/>
          <w:color w:val="000000"/>
        </w:rPr>
        <w:t>.</w:t>
      </w:r>
      <w:r w:rsidRPr="00036097">
        <w:rPr>
          <w:rFonts w:eastAsia="Century Schoolbook"/>
          <w:color w:val="000000"/>
        </w:rPr>
        <w:t xml:space="preserve"> </w:t>
      </w:r>
    </w:p>
  </w:footnote>
  <w:footnote w:id="266">
    <w:p w14:paraId="5F8ED152" w14:textId="05771B25" w:rsidR="006E30B5" w:rsidRPr="009F549F" w:rsidRDefault="006E30B5">
      <w:pPr>
        <w:pBdr>
          <w:top w:val="nil"/>
          <w:left w:val="nil"/>
          <w:bottom w:val="nil"/>
          <w:right w:val="nil"/>
          <w:between w:val="nil"/>
        </w:pBdr>
        <w:rPr>
          <w:rFonts w:eastAsia="Century Schoolbook"/>
          <w:color w:val="000000"/>
        </w:rPr>
      </w:pPr>
      <w:r w:rsidRPr="009F549F">
        <w:rPr>
          <w:vertAlign w:val="superscript"/>
        </w:rPr>
        <w:footnoteRef/>
      </w:r>
      <w:r w:rsidRPr="009F549F">
        <w:rPr>
          <w:rFonts w:eastAsia="Century Schoolbook"/>
          <w:color w:val="000000"/>
        </w:rPr>
        <w:t xml:space="preserve"> </w:t>
      </w:r>
      <w:r w:rsidRPr="009F549F">
        <w:rPr>
          <w:rFonts w:eastAsia="Century Schoolbook"/>
          <w:smallCaps/>
          <w:color w:val="000000"/>
        </w:rPr>
        <w:t xml:space="preserve">John Brooks, Brian </w:t>
      </w:r>
      <w:r w:rsidRPr="007D6E99">
        <w:rPr>
          <w:rFonts w:ascii="Century Schoolbook" w:eastAsia="Century Schoolbook" w:hAnsi="Century Schoolbook" w:cs="Century Schoolbook"/>
          <w:color w:val="000000"/>
          <w:sz w:val="20"/>
          <w:szCs w:val="20"/>
        </w:rPr>
        <w:t xml:space="preserve">D. </w:t>
      </w:r>
      <w:r w:rsidRPr="009F549F">
        <w:rPr>
          <w:rFonts w:eastAsia="Century Schoolbook"/>
          <w:smallCaps/>
          <w:color w:val="000000"/>
        </w:rPr>
        <w:t xml:space="preserve">Galle, David Gamage, Ari </w:t>
      </w:r>
      <w:r w:rsidRPr="007D6E99">
        <w:rPr>
          <w:rFonts w:ascii="Century Schoolbook" w:eastAsia="Century Schoolbook" w:hAnsi="Century Schoolbook" w:cs="Century Schoolbook"/>
          <w:color w:val="000000"/>
          <w:sz w:val="20"/>
          <w:szCs w:val="20"/>
        </w:rPr>
        <w:t xml:space="preserve">D. </w:t>
      </w:r>
      <w:proofErr w:type="spellStart"/>
      <w:r w:rsidRPr="009F549F">
        <w:rPr>
          <w:rFonts w:eastAsia="Century Schoolbook"/>
          <w:smallCaps/>
          <w:color w:val="000000"/>
        </w:rPr>
        <w:t>Glogower</w:t>
      </w:r>
      <w:proofErr w:type="spellEnd"/>
      <w:r w:rsidRPr="009F549F">
        <w:rPr>
          <w:rFonts w:eastAsia="Century Schoolbook"/>
          <w:smallCaps/>
          <w:color w:val="000000"/>
        </w:rPr>
        <w:t xml:space="preserve">, Emmanuel </w:t>
      </w:r>
      <w:proofErr w:type="spellStart"/>
      <w:r w:rsidRPr="009F549F">
        <w:rPr>
          <w:rFonts w:eastAsia="Century Schoolbook"/>
          <w:smallCaps/>
          <w:color w:val="000000"/>
        </w:rPr>
        <w:t>Saez</w:t>
      </w:r>
      <w:proofErr w:type="spellEnd"/>
      <w:r w:rsidRPr="007D6E99">
        <w:rPr>
          <w:rFonts w:ascii="Century Schoolbook" w:eastAsia="Century Schoolbook" w:hAnsi="Century Schoolbook" w:cs="Century Schoolbook"/>
          <w:color w:val="000000"/>
          <w:sz w:val="20"/>
          <w:szCs w:val="20"/>
        </w:rPr>
        <w:t>,</w:t>
      </w:r>
      <w:r w:rsidRPr="009F549F">
        <w:rPr>
          <w:rFonts w:eastAsia="Century Schoolbook"/>
          <w:smallCaps/>
          <w:color w:val="000000"/>
        </w:rPr>
        <w:t xml:space="preserve"> &amp; Gabriel Zucman</w:t>
      </w:r>
      <w:r w:rsidRPr="009F549F">
        <w:rPr>
          <w:rFonts w:eastAsia="Century Schoolbook"/>
          <w:color w:val="000000"/>
        </w:rPr>
        <w:t xml:space="preserve">, </w:t>
      </w:r>
      <w:r w:rsidRPr="00D61A83">
        <w:rPr>
          <w:rFonts w:eastAsia="Century Schoolbook"/>
          <w:smallCaps/>
          <w:color w:val="000000"/>
        </w:rPr>
        <w:t xml:space="preserve">Ind. </w:t>
      </w:r>
      <w:r w:rsidRPr="009F549F">
        <w:rPr>
          <w:rFonts w:eastAsia="Century Schoolbook"/>
          <w:smallCaps/>
          <w:color w:val="000000"/>
        </w:rPr>
        <w:t xml:space="preserve">Univ. </w:t>
      </w:r>
      <w:r w:rsidRPr="00D61A83">
        <w:rPr>
          <w:rFonts w:eastAsia="Century Schoolbook"/>
          <w:smallCaps/>
          <w:color w:val="000000"/>
        </w:rPr>
        <w:t>Maurer Sch. of L.</w:t>
      </w:r>
      <w:r w:rsidRPr="009F549F">
        <w:rPr>
          <w:rFonts w:eastAsia="Century Schoolbook"/>
          <w:smallCaps/>
          <w:color w:val="000000"/>
        </w:rPr>
        <w:t xml:space="preserve"> Legal Stud. Res. Paper Series</w:t>
      </w:r>
      <w:r>
        <w:rPr>
          <w:rFonts w:eastAsia="Century Schoolbook"/>
          <w:smallCaps/>
          <w:color w:val="000000"/>
        </w:rPr>
        <w:t>,</w:t>
      </w:r>
      <w:r w:rsidRPr="00036097">
        <w:rPr>
          <w:rFonts w:eastAsia="Century Schoolbook"/>
          <w:smallCaps/>
          <w:color w:val="000000"/>
        </w:rPr>
        <w:t xml:space="preserve"> No. </w:t>
      </w:r>
      <w:r w:rsidRPr="00036097">
        <w:rPr>
          <w:rFonts w:eastAsia="Century Schoolbook"/>
          <w:smallCaps/>
          <w:color w:val="000000"/>
        </w:rPr>
        <w:t>470</w:t>
      </w:r>
      <w:r>
        <w:rPr>
          <w:rFonts w:eastAsia="Century Schoolbook"/>
          <w:smallCaps/>
          <w:color w:val="000000"/>
        </w:rPr>
        <w:t>,</w:t>
      </w:r>
      <w:r w:rsidRPr="00036097">
        <w:rPr>
          <w:rFonts w:eastAsia="Century Schoolbook"/>
          <w:smallCaps/>
          <w:color w:val="000000"/>
        </w:rPr>
        <w:t xml:space="preserve"> </w:t>
      </w:r>
      <w:r w:rsidRPr="009F549F">
        <w:rPr>
          <w:rFonts w:eastAsia="Century Schoolbook"/>
          <w:smallCaps/>
          <w:color w:val="000000"/>
        </w:rPr>
        <w:t xml:space="preserve">219 Economists, Law Professors &amp; Other Academics Urge Congress to Include the </w:t>
      </w:r>
      <w:r w:rsidRPr="00D61A83">
        <w:rPr>
          <w:rFonts w:eastAsia="Century Schoolbook"/>
          <w:iCs/>
          <w:smallCaps/>
          <w:color w:val="000000"/>
        </w:rPr>
        <w:t>‘Billionaires</w:t>
      </w:r>
      <w:r w:rsidRPr="009F549F">
        <w:rPr>
          <w:rFonts w:eastAsia="Century Schoolbook"/>
          <w:smallCaps/>
          <w:color w:val="000000"/>
        </w:rPr>
        <w:t xml:space="preserve"> Income </w:t>
      </w:r>
      <w:r w:rsidRPr="00D61A83">
        <w:rPr>
          <w:rFonts w:eastAsia="Century Schoolbook"/>
          <w:iCs/>
          <w:smallCaps/>
          <w:color w:val="000000"/>
        </w:rPr>
        <w:t>Tax’</w:t>
      </w:r>
      <w:r w:rsidRPr="009F549F">
        <w:rPr>
          <w:rFonts w:eastAsia="Century Schoolbook"/>
          <w:smallCaps/>
          <w:color w:val="000000"/>
        </w:rPr>
        <w:t xml:space="preserve"> in Build Back Better Act</w:t>
      </w:r>
      <w:r w:rsidRPr="00036097">
        <w:rPr>
          <w:rFonts w:eastAsia="Century Schoolbook"/>
          <w:color w:val="000000"/>
        </w:rPr>
        <w:t xml:space="preserve"> (Dec.</w:t>
      </w:r>
      <w:r w:rsidRPr="009F549F">
        <w:rPr>
          <w:rFonts w:eastAsia="Century Schoolbook"/>
          <w:color w:val="000000"/>
        </w:rPr>
        <w:t xml:space="preserve"> 10, 2021).</w:t>
      </w:r>
    </w:p>
  </w:footnote>
  <w:footnote w:id="267">
    <w:p w14:paraId="05011E58" w14:textId="77777777" w:rsidR="006E30B5" w:rsidRPr="009F549F" w:rsidRDefault="006E30B5">
      <w:pPr>
        <w:pBdr>
          <w:top w:val="nil"/>
          <w:left w:val="nil"/>
          <w:bottom w:val="nil"/>
          <w:right w:val="nil"/>
          <w:between w:val="nil"/>
        </w:pBdr>
        <w:rPr>
          <w:rFonts w:eastAsia="Century Schoolbook"/>
          <w:i/>
          <w:color w:val="000000"/>
        </w:rPr>
      </w:pPr>
      <w:r w:rsidRPr="009F549F">
        <w:rPr>
          <w:vertAlign w:val="superscript"/>
        </w:rPr>
        <w:footnoteRef/>
      </w:r>
      <w:r w:rsidRPr="009F549F">
        <w:rPr>
          <w:rFonts w:eastAsia="Century Schoolbook"/>
          <w:color w:val="000000"/>
        </w:rPr>
        <w:t xml:space="preserve"> </w:t>
      </w:r>
      <w:r w:rsidRPr="009F549F">
        <w:rPr>
          <w:rFonts w:eastAsia="Century Schoolbook"/>
          <w:i/>
          <w:color w:val="000000"/>
        </w:rPr>
        <w:t>Id.</w:t>
      </w:r>
    </w:p>
  </w:footnote>
  <w:footnote w:id="268">
    <w:p w14:paraId="16F5CA7F" w14:textId="5E9DF95B" w:rsidR="006E30B5" w:rsidRPr="009F549F" w:rsidRDefault="006E30B5">
      <w:pPr>
        <w:pBdr>
          <w:top w:val="nil"/>
          <w:left w:val="nil"/>
          <w:bottom w:val="nil"/>
          <w:right w:val="nil"/>
          <w:between w:val="nil"/>
        </w:pBdr>
        <w:rPr>
          <w:rFonts w:eastAsia="Century Schoolbook"/>
          <w:i/>
          <w:color w:val="000000"/>
          <w:u w:val="single"/>
        </w:rPr>
      </w:pPr>
      <w:r w:rsidRPr="009F549F">
        <w:rPr>
          <w:vertAlign w:val="superscript"/>
        </w:rPr>
        <w:footnoteRef/>
      </w:r>
      <w:r w:rsidRPr="009F549F">
        <w:rPr>
          <w:rFonts w:eastAsia="Century Schoolbook"/>
          <w:color w:val="000000"/>
        </w:rPr>
        <w:t xml:space="preserve"> </w:t>
      </w:r>
      <w:r w:rsidRPr="009F549F">
        <w:rPr>
          <w:rFonts w:eastAsia="Century Schoolbook"/>
          <w:i/>
          <w:color w:val="000000"/>
        </w:rPr>
        <w:t>Id.</w:t>
      </w:r>
      <w:r w:rsidRPr="00036097">
        <w:rPr>
          <w:rFonts w:eastAsia="Century Schoolbook"/>
          <w:i/>
          <w:color w:val="000000"/>
        </w:rPr>
        <w:t xml:space="preserve"> </w:t>
      </w:r>
    </w:p>
  </w:footnote>
  <w:footnote w:id="269">
    <w:p w14:paraId="6E662A46" w14:textId="77777777" w:rsidR="006E30B5" w:rsidRPr="009F549F" w:rsidRDefault="006E30B5">
      <w:pPr>
        <w:pBdr>
          <w:top w:val="nil"/>
          <w:left w:val="nil"/>
          <w:bottom w:val="nil"/>
          <w:right w:val="nil"/>
          <w:between w:val="nil"/>
        </w:pBdr>
        <w:rPr>
          <w:rFonts w:eastAsia="Century Schoolbook"/>
          <w:i/>
          <w:color w:val="000000"/>
        </w:rPr>
      </w:pPr>
      <w:r w:rsidRPr="009F549F">
        <w:rPr>
          <w:vertAlign w:val="superscript"/>
        </w:rPr>
        <w:footnoteRef/>
      </w:r>
      <w:r w:rsidRPr="009F549F">
        <w:rPr>
          <w:rFonts w:eastAsia="Century Schoolbook"/>
          <w:color w:val="000000"/>
        </w:rPr>
        <w:t xml:space="preserve"> </w:t>
      </w:r>
      <w:r w:rsidRPr="009F549F">
        <w:rPr>
          <w:rFonts w:eastAsia="Century Schoolbook"/>
          <w:i/>
          <w:color w:val="000000"/>
        </w:rPr>
        <w:t>Id.</w:t>
      </w:r>
    </w:p>
  </w:footnote>
  <w:footnote w:id="270">
    <w:p w14:paraId="6070ABD9" w14:textId="180AB234" w:rsidR="006E30B5" w:rsidRPr="009F549F" w:rsidRDefault="006E30B5" w:rsidP="00E421B2">
      <w:pPr>
        <w:pBdr>
          <w:top w:val="nil"/>
          <w:left w:val="nil"/>
          <w:bottom w:val="nil"/>
          <w:right w:val="nil"/>
          <w:between w:val="nil"/>
        </w:pBdr>
        <w:rPr>
          <w:rFonts w:eastAsia="Century Schoolbook"/>
          <w:color w:val="000000"/>
        </w:rPr>
      </w:pPr>
      <w:r w:rsidRPr="009F549F">
        <w:rPr>
          <w:vertAlign w:val="superscript"/>
        </w:rPr>
        <w:footnoteRef/>
      </w:r>
      <w:r w:rsidRPr="009F549F">
        <w:rPr>
          <w:rFonts w:eastAsia="Century Schoolbook"/>
          <w:color w:val="000000"/>
        </w:rPr>
        <w:t xml:space="preserve"> </w:t>
      </w:r>
      <w:r>
        <w:rPr>
          <w:rFonts w:eastAsia="Century Schoolbook"/>
          <w:i/>
          <w:iCs/>
          <w:color w:val="000000"/>
        </w:rPr>
        <w:t xml:space="preserve">See </w:t>
      </w:r>
      <w:r w:rsidRPr="009F549F">
        <w:rPr>
          <w:rFonts w:eastAsia="Century Schoolbook"/>
          <w:color w:val="000000"/>
        </w:rPr>
        <w:t>Gamage</w:t>
      </w:r>
      <w:r>
        <w:rPr>
          <w:rFonts w:eastAsia="Century Schoolbook"/>
          <w:color w:val="000000"/>
        </w:rPr>
        <w:t xml:space="preserve"> &amp; Brooks</w:t>
      </w:r>
      <w:r w:rsidRPr="009F549F">
        <w:rPr>
          <w:rFonts w:eastAsia="Century Schoolbook"/>
          <w:color w:val="000000"/>
        </w:rPr>
        <w:t xml:space="preserve">, </w:t>
      </w:r>
      <w:r w:rsidRPr="009F549F">
        <w:rPr>
          <w:rFonts w:eastAsia="Century Schoolbook"/>
          <w:i/>
          <w:color w:val="000000"/>
        </w:rPr>
        <w:t>supra</w:t>
      </w:r>
      <w:r w:rsidRPr="009F549F">
        <w:rPr>
          <w:rFonts w:eastAsia="Century Schoolbook"/>
          <w:color w:val="000000"/>
        </w:rPr>
        <w:t xml:space="preserve"> note </w:t>
      </w:r>
      <w:r>
        <w:rPr>
          <w:rFonts w:eastAsia="Century Schoolbook"/>
          <w:color w:val="000000"/>
        </w:rPr>
        <w:t>6</w:t>
      </w:r>
      <w:r w:rsidRPr="009F549F">
        <w:rPr>
          <w:rFonts w:eastAsia="Century Schoolbook"/>
          <w:color w:val="000000"/>
        </w:rPr>
        <w:t xml:space="preserve"> at </w:t>
      </w:r>
      <w:r>
        <w:rPr>
          <w:rFonts w:eastAsia="Century Schoolbook"/>
          <w:color w:val="000000"/>
        </w:rPr>
        <w:t>note 238 (“</w:t>
      </w:r>
      <w:r w:rsidRPr="00E421B2">
        <w:rPr>
          <w:rFonts w:eastAsia="Century Schoolbook"/>
          <w:color w:val="000000"/>
        </w:rPr>
        <w:t>Our overall assessment is that the BIT would have been a</w:t>
      </w:r>
      <w:r>
        <w:rPr>
          <w:rFonts w:eastAsia="Century Schoolbook"/>
          <w:color w:val="000000"/>
        </w:rPr>
        <w:t xml:space="preserve"> </w:t>
      </w:r>
      <w:r w:rsidRPr="00E421B2">
        <w:rPr>
          <w:rFonts w:eastAsia="Century Schoolbook"/>
          <w:color w:val="000000"/>
        </w:rPr>
        <w:t>substantial improvement to the existing personal tax system, and we strongly supported the proposed</w:t>
      </w:r>
      <w:r>
        <w:rPr>
          <w:rFonts w:eastAsia="Century Schoolbook"/>
          <w:color w:val="000000"/>
        </w:rPr>
        <w:t xml:space="preserve"> </w:t>
      </w:r>
      <w:r w:rsidRPr="00E421B2">
        <w:rPr>
          <w:rFonts w:eastAsia="Century Schoolbook"/>
          <w:color w:val="000000"/>
        </w:rPr>
        <w:t>BIT. However, our view is also that, had the BIT been enacted, it would likely have then been</w:t>
      </w:r>
      <w:r>
        <w:rPr>
          <w:rFonts w:eastAsia="Century Schoolbook"/>
          <w:color w:val="000000"/>
        </w:rPr>
        <w:t xml:space="preserve"> </w:t>
      </w:r>
      <w:r w:rsidRPr="00E421B2">
        <w:rPr>
          <w:rFonts w:eastAsia="Century Schoolbook"/>
          <w:color w:val="000000"/>
        </w:rPr>
        <w:t>substantially eroded over time as a result of the political-optionality dynamics that we explain in this</w:t>
      </w:r>
      <w:r>
        <w:rPr>
          <w:rFonts w:eastAsia="Century Schoolbook"/>
          <w:color w:val="000000"/>
        </w:rPr>
        <w:t xml:space="preserve"> </w:t>
      </w:r>
      <w:r w:rsidRPr="00E421B2">
        <w:rPr>
          <w:rFonts w:eastAsia="Century Schoolbook"/>
          <w:color w:val="000000"/>
        </w:rPr>
        <w:t>Article. For that reason, we think that it would have fallen short of offering a sustainable fix to the</w:t>
      </w:r>
      <w:r>
        <w:rPr>
          <w:rFonts w:eastAsia="Century Schoolbook"/>
          <w:color w:val="000000"/>
        </w:rPr>
        <w:t xml:space="preserve"> </w:t>
      </w:r>
      <w:r w:rsidRPr="00E421B2">
        <w:rPr>
          <w:rFonts w:eastAsia="Century Schoolbook"/>
          <w:color w:val="000000"/>
        </w:rPr>
        <w:t>brokenness of the existing personal tax system—for that, we think a complete current-assessment</w:t>
      </w:r>
      <w:r>
        <w:rPr>
          <w:rFonts w:eastAsia="Century Schoolbook"/>
          <w:color w:val="000000"/>
        </w:rPr>
        <w:t xml:space="preserve"> </w:t>
      </w:r>
      <w:r w:rsidRPr="00E421B2">
        <w:rPr>
          <w:rFonts w:eastAsia="Century Schoolbook"/>
          <w:color w:val="000000"/>
        </w:rPr>
        <w:t>reform is needed.</w:t>
      </w:r>
      <w:r>
        <w:rPr>
          <w:rFonts w:eastAsia="Century Schoolbook"/>
          <w:color w:val="000000"/>
        </w:rPr>
        <w:t>”).</w:t>
      </w:r>
      <w:r w:rsidRPr="00036097">
        <w:rPr>
          <w:rFonts w:eastAsia="Century Schoolbook"/>
          <w:color w:val="000000"/>
        </w:rPr>
        <w:t xml:space="preserve"> </w:t>
      </w:r>
    </w:p>
  </w:footnote>
  <w:footnote w:id="271">
    <w:p w14:paraId="6111217E" w14:textId="756AF7BE" w:rsidR="006E30B5" w:rsidRPr="009F549F" w:rsidRDefault="006E30B5">
      <w:pPr>
        <w:pStyle w:val="FootnoteText"/>
        <w:rPr>
          <w:rFonts w:ascii="Times New Roman" w:hAnsi="Times New Roman"/>
          <w:sz w:val="24"/>
          <w:lang w:val="en-US"/>
        </w:rPr>
      </w:pPr>
      <w:r w:rsidRPr="009F549F">
        <w:rPr>
          <w:rStyle w:val="FootnoteReference"/>
          <w:rFonts w:ascii="Times New Roman" w:hAnsi="Times New Roman"/>
          <w:sz w:val="24"/>
        </w:rPr>
        <w:footnoteRef/>
      </w:r>
      <w:r w:rsidRPr="00036097">
        <w:rPr>
          <w:rFonts w:ascii="Times New Roman" w:hAnsi="Times New Roman" w:cs="Times New Roman"/>
          <w:sz w:val="24"/>
          <w:szCs w:val="24"/>
        </w:rPr>
        <w:t xml:space="preserve"> </w:t>
      </w:r>
      <w:hyperlink w:history="1"/>
      <w:r w:rsidRPr="009F549F">
        <w:rPr>
          <w:rFonts w:ascii="Times New Roman" w:eastAsia="Century Schoolbook" w:hAnsi="Times New Roman" w:cs="Times New Roman"/>
          <w:color w:val="000000"/>
          <w:sz w:val="24"/>
          <w:szCs w:val="24"/>
          <w:lang w:val="en-US"/>
        </w:rPr>
        <w:t>Billionaire Minimum Income Tax Act, H.R.</w:t>
      </w:r>
      <w:r w:rsidRPr="009B11B6">
        <w:rPr>
          <w:rFonts w:ascii="Times New Roman" w:eastAsia="Century Schoolbook" w:hAnsi="Times New Roman" w:cs="Times New Roman"/>
          <w:color w:val="000000"/>
          <w:sz w:val="24"/>
          <w:szCs w:val="24"/>
          <w:lang w:val="en-US"/>
        </w:rPr>
        <w:t xml:space="preserve"> </w:t>
      </w:r>
      <w:r w:rsidRPr="009F549F">
        <w:rPr>
          <w:rFonts w:ascii="Times New Roman" w:eastAsia="Century Schoolbook" w:hAnsi="Times New Roman" w:cs="Times New Roman"/>
          <w:color w:val="000000"/>
          <w:sz w:val="24"/>
          <w:szCs w:val="24"/>
          <w:lang w:val="en-US"/>
        </w:rPr>
        <w:t>8558, 117th Cong. (2022) (as introduced July 28, 2022).</w:t>
      </w:r>
      <w:r w:rsidRPr="00036097">
        <w:rPr>
          <w:rFonts w:ascii="Times New Roman" w:hAnsi="Times New Roman" w:cs="Times New Roman"/>
          <w:sz w:val="24"/>
          <w:szCs w:val="24"/>
          <w:lang w:val="en-US"/>
        </w:rPr>
        <w:t xml:space="preserve"> </w:t>
      </w:r>
    </w:p>
  </w:footnote>
  <w:footnote w:id="272">
    <w:p w14:paraId="06B77143" w14:textId="23AF27A4" w:rsidR="006E30B5" w:rsidRPr="009F549F" w:rsidRDefault="006E30B5">
      <w:pPr>
        <w:pStyle w:val="FootnoteText"/>
        <w:rPr>
          <w:rFonts w:ascii="Times New Roman" w:hAnsi="Times New Roman"/>
          <w:sz w:val="24"/>
          <w:lang w:val="en-US"/>
        </w:rPr>
      </w:pPr>
      <w:r w:rsidRPr="009F549F">
        <w:rPr>
          <w:rFonts w:ascii="Times New Roman" w:hAnsi="Times New Roman"/>
          <w:color w:val="000000"/>
          <w:sz w:val="24"/>
          <w:lang w:val="en-US"/>
        </w:rPr>
        <w:footnoteRef/>
      </w:r>
      <w:r w:rsidRPr="009F549F">
        <w:rPr>
          <w:rFonts w:ascii="Times New Roman" w:hAnsi="Times New Roman"/>
          <w:color w:val="000000"/>
          <w:sz w:val="24"/>
          <w:vertAlign w:val="superscript"/>
          <w:lang w:val="en-US"/>
        </w:rPr>
        <w:t xml:space="preserve"> </w:t>
      </w:r>
      <w:r w:rsidRPr="009F549F">
        <w:rPr>
          <w:rFonts w:ascii="Times New Roman" w:hAnsi="Times New Roman"/>
          <w:i/>
          <w:color w:val="000000"/>
          <w:sz w:val="24"/>
          <w:lang w:val="en-US"/>
        </w:rPr>
        <w:t>Id.</w:t>
      </w:r>
      <w:r w:rsidRPr="009F549F">
        <w:rPr>
          <w:rFonts w:ascii="Times New Roman" w:hAnsi="Times New Roman"/>
          <w:color w:val="000000"/>
          <w:sz w:val="24"/>
          <w:lang w:val="en-US"/>
        </w:rPr>
        <w:t xml:space="preserve"> </w:t>
      </w:r>
      <w:r w:rsidRPr="00036097">
        <w:rPr>
          <w:rFonts w:ascii="Times New Roman" w:eastAsia="Century Schoolbook" w:hAnsi="Times New Roman" w:cs="Times New Roman"/>
          <w:color w:val="000000"/>
          <w:sz w:val="24"/>
          <w:szCs w:val="24"/>
          <w:lang w:val="en-US"/>
        </w:rPr>
        <w:t>§</w:t>
      </w:r>
      <w:r w:rsidRPr="009F549F">
        <w:rPr>
          <w:rFonts w:ascii="Times New Roman" w:hAnsi="Times New Roman"/>
          <w:color w:val="000000"/>
          <w:sz w:val="24"/>
          <w:lang w:val="en-US"/>
        </w:rPr>
        <w:t xml:space="preserve"> 1481(f).</w:t>
      </w:r>
    </w:p>
  </w:footnote>
  <w:footnote w:id="273">
    <w:p w14:paraId="5D7D9DBD" w14:textId="78CAEE28" w:rsidR="006E30B5" w:rsidRPr="009F549F" w:rsidRDefault="006E30B5">
      <w:pPr>
        <w:pBdr>
          <w:top w:val="nil"/>
          <w:left w:val="nil"/>
          <w:bottom w:val="nil"/>
          <w:right w:val="nil"/>
          <w:between w:val="nil"/>
        </w:pBdr>
        <w:rPr>
          <w:rFonts w:eastAsia="Century Schoolbook"/>
          <w:color w:val="000000"/>
        </w:rPr>
      </w:pPr>
      <w:r w:rsidRPr="009F549F">
        <w:rPr>
          <w:vertAlign w:val="superscript"/>
        </w:rPr>
        <w:footnoteRef/>
      </w:r>
      <w:r w:rsidRPr="009F549F">
        <w:rPr>
          <w:rFonts w:eastAsia="Century Schoolbook"/>
          <w:color w:val="000000"/>
        </w:rPr>
        <w:t xml:space="preserve"> Ari</w:t>
      </w:r>
      <w:r w:rsidRPr="007D6E99">
        <w:rPr>
          <w:rFonts w:ascii="Century Schoolbook" w:eastAsia="Century Schoolbook" w:hAnsi="Century Schoolbook" w:cs="Century Schoolbook"/>
          <w:color w:val="000000"/>
          <w:sz w:val="20"/>
          <w:szCs w:val="20"/>
        </w:rPr>
        <w:t xml:space="preserve"> D.</w:t>
      </w:r>
      <w:r w:rsidRPr="009F549F">
        <w:rPr>
          <w:rFonts w:eastAsia="Century Schoolbook"/>
          <w:color w:val="000000"/>
        </w:rPr>
        <w:t xml:space="preserve"> Glogower, </w:t>
      </w:r>
      <w:r w:rsidRPr="009F549F">
        <w:rPr>
          <w:rFonts w:eastAsia="Century Schoolbook"/>
          <w:i/>
          <w:color w:val="000000"/>
        </w:rPr>
        <w:t>Comparing Capital Income and Wealth Taxes</w:t>
      </w:r>
      <w:r w:rsidRPr="009F549F">
        <w:rPr>
          <w:rFonts w:eastAsia="Century Schoolbook"/>
          <w:color w:val="000000"/>
        </w:rPr>
        <w:t xml:space="preserve">, 48 </w:t>
      </w:r>
      <w:proofErr w:type="spellStart"/>
      <w:r w:rsidRPr="009F549F">
        <w:rPr>
          <w:rFonts w:eastAsia="Century Schoolbook"/>
          <w:smallCaps/>
          <w:color w:val="000000"/>
        </w:rPr>
        <w:t>Pepp</w:t>
      </w:r>
      <w:proofErr w:type="spellEnd"/>
      <w:r w:rsidRPr="009F549F">
        <w:rPr>
          <w:rFonts w:eastAsia="Century Schoolbook"/>
          <w:smallCaps/>
          <w:color w:val="000000"/>
        </w:rPr>
        <w:t>. L. Rev.</w:t>
      </w:r>
      <w:r w:rsidRPr="009F549F">
        <w:rPr>
          <w:rFonts w:eastAsia="Century Schoolbook"/>
          <w:color w:val="000000"/>
        </w:rPr>
        <w:t xml:space="preserve"> 875, 887–94 (2022).</w:t>
      </w:r>
      <w:r w:rsidRPr="00036097">
        <w:rPr>
          <w:rFonts w:eastAsia="Century Schoolbook"/>
          <w:color w:val="000000"/>
        </w:rPr>
        <w:t xml:space="preserve"> </w:t>
      </w:r>
    </w:p>
  </w:footnote>
  <w:footnote w:id="274">
    <w:p w14:paraId="371949CE" w14:textId="7E604255" w:rsidR="006E30B5" w:rsidRPr="009F549F" w:rsidRDefault="006E30B5">
      <w:pPr>
        <w:pBdr>
          <w:top w:val="nil"/>
          <w:left w:val="nil"/>
          <w:bottom w:val="nil"/>
          <w:right w:val="nil"/>
          <w:between w:val="nil"/>
        </w:pBdr>
        <w:rPr>
          <w:color w:val="000000"/>
        </w:rPr>
      </w:pPr>
      <w:r w:rsidRPr="009F549F">
        <w:rPr>
          <w:vertAlign w:val="superscript"/>
        </w:rPr>
        <w:footnoteRef/>
      </w:r>
      <w:r w:rsidRPr="009F549F">
        <w:rPr>
          <w:rFonts w:eastAsia="Century Schoolbook"/>
          <w:color w:val="000000"/>
        </w:rPr>
        <w:t xml:space="preserve"> Note that this is the approach for calculating how the government’s notional equity interest increases annually once an ULTRA has been initiated. </w:t>
      </w:r>
      <w:r>
        <w:rPr>
          <w:rFonts w:eastAsia="Century Schoolbook"/>
          <w:color w:val="000000"/>
        </w:rPr>
        <w:t xml:space="preserve">Policy makers also need to determine how to apply ULTRA rules at the time the ULTRA is initiated. For new acquisitions, this should be straightforward. </w:t>
      </w:r>
      <w:r w:rsidRPr="009F549F">
        <w:rPr>
          <w:rFonts w:eastAsia="Century Schoolbook"/>
          <w:color w:val="000000"/>
        </w:rPr>
        <w:t>At the time of the initiation of the ULTRA, the government’s notional equity interest should start at zero if there is a recognition event</w:t>
      </w:r>
      <w:r>
        <w:rPr>
          <w:rFonts w:eastAsia="Century Schoolbook"/>
          <w:color w:val="000000"/>
        </w:rPr>
        <w:t>, such as the purchase of the asset subject to the ULTRA,</w:t>
      </w:r>
      <w:r w:rsidRPr="009F549F">
        <w:rPr>
          <w:rFonts w:eastAsia="Century Schoolbook"/>
          <w:color w:val="000000"/>
        </w:rPr>
        <w:t xml:space="preserve"> for all unrealized gains or losses of assets to which the ULTRA is to be attached.</w:t>
      </w:r>
      <w:r>
        <w:rPr>
          <w:rFonts w:eastAsia="Century Schoolbook"/>
          <w:color w:val="000000"/>
        </w:rPr>
        <w:t xml:space="preserve"> Under a newly-enacted mark-to-market system, legislators must also consider how to treat existing assets that may have untaxed gains or losses. Our recommendation is that </w:t>
      </w:r>
      <w:r w:rsidRPr="009F549F">
        <w:rPr>
          <w:rFonts w:eastAsia="Century Schoolbook"/>
          <w:color w:val="000000"/>
        </w:rPr>
        <w:t xml:space="preserve"> the government’s notional equity interest at the time of the initiation of the ULTRA should begin with the relevant mark-to-market tax rate to preserve the government’s claim on prior unrealized gains</w:t>
      </w:r>
      <w:r>
        <w:rPr>
          <w:rFonts w:ascii="Century Schoolbook" w:eastAsia="Century Schoolbook" w:hAnsi="Century Schoolbook" w:cs="Century Schoolbook"/>
          <w:color w:val="000000"/>
          <w:sz w:val="20"/>
          <w:szCs w:val="20"/>
        </w:rPr>
        <w:t>. This is explained further in the Technical Appendix.</w:t>
      </w:r>
    </w:p>
  </w:footnote>
  <w:footnote w:id="275">
    <w:p w14:paraId="60313E1F" w14:textId="4D91B4B4" w:rsidR="006E30B5" w:rsidRPr="009F549F" w:rsidRDefault="006E30B5">
      <w:pPr>
        <w:pBdr>
          <w:top w:val="nil"/>
          <w:left w:val="nil"/>
          <w:bottom w:val="nil"/>
          <w:right w:val="nil"/>
          <w:between w:val="nil"/>
        </w:pBdr>
        <w:rPr>
          <w:rFonts w:eastAsia="Century Schoolbook"/>
          <w:color w:val="000000"/>
        </w:rPr>
      </w:pPr>
      <w:r w:rsidRPr="009F549F">
        <w:rPr>
          <w:vertAlign w:val="superscript"/>
        </w:rPr>
        <w:footnoteRef/>
      </w:r>
      <w:r w:rsidRPr="009F549F">
        <w:rPr>
          <w:rFonts w:eastAsia="Century Schoolbook"/>
          <w:color w:val="000000"/>
        </w:rPr>
        <w:t xml:space="preserve"> But see Part </w:t>
      </w:r>
      <w:r>
        <w:rPr>
          <w:rFonts w:eastAsia="Century Schoolbook"/>
          <w:color w:val="000000"/>
        </w:rPr>
        <w:fldChar w:fldCharType="begin"/>
      </w:r>
      <w:r>
        <w:rPr>
          <w:rFonts w:eastAsia="Century Schoolbook"/>
          <w:color w:val="000000"/>
        </w:rPr>
        <w:instrText xml:space="preserve"> REF _Ref119423793 \h </w:instrText>
      </w:r>
      <w:r>
        <w:rPr>
          <w:rFonts w:eastAsia="Century Schoolbook"/>
          <w:color w:val="000000"/>
        </w:rPr>
      </w:r>
      <w:r>
        <w:rPr>
          <w:rFonts w:eastAsia="Century Schoolbook"/>
          <w:color w:val="000000"/>
        </w:rPr>
        <w:fldChar w:fldCharType="separate"/>
      </w:r>
      <w:r w:rsidRPr="00C90F0B">
        <w:rPr>
          <w:smallCaps/>
        </w:rPr>
        <w:t>II. Partial Solutions to the Valuation Challenge</w:t>
      </w:r>
      <w:r>
        <w:rPr>
          <w:rFonts w:eastAsia="Century Schoolbook"/>
          <w:color w:val="000000"/>
        </w:rPr>
        <w:fldChar w:fldCharType="end"/>
      </w:r>
      <w:r w:rsidRPr="009F549F">
        <w:rPr>
          <w:rFonts w:eastAsia="Century Schoolbook"/>
          <w:color w:val="000000"/>
        </w:rPr>
        <w:t xml:space="preserve"> for a partial discussion.</w:t>
      </w:r>
    </w:p>
  </w:footnote>
  <w:footnote w:id="276">
    <w:p w14:paraId="5C2926BE" w14:textId="27C1FD41" w:rsidR="006E30B5" w:rsidRPr="009F549F" w:rsidRDefault="006E30B5">
      <w:pPr>
        <w:pBdr>
          <w:top w:val="nil"/>
          <w:left w:val="nil"/>
          <w:bottom w:val="nil"/>
          <w:right w:val="nil"/>
          <w:between w:val="nil"/>
        </w:pBdr>
        <w:rPr>
          <w:rFonts w:eastAsia="Century Schoolbook"/>
          <w:color w:val="000000"/>
        </w:rPr>
      </w:pPr>
      <w:r w:rsidRPr="009F549F">
        <w:rPr>
          <w:vertAlign w:val="superscript"/>
        </w:rPr>
        <w:footnoteRef/>
      </w:r>
      <w:r w:rsidRPr="009F549F">
        <w:rPr>
          <w:rFonts w:eastAsia="Century Schoolbook"/>
          <w:color w:val="000000"/>
        </w:rPr>
        <w:t xml:space="preserve"> Schenk, </w:t>
      </w:r>
      <w:r w:rsidRPr="009F549F">
        <w:rPr>
          <w:rFonts w:eastAsia="Century Schoolbook"/>
          <w:i/>
          <w:color w:val="000000"/>
        </w:rPr>
        <w:t>supra</w:t>
      </w:r>
      <w:r w:rsidRPr="009F549F">
        <w:rPr>
          <w:rFonts w:eastAsia="Century Schoolbook"/>
          <w:color w:val="000000"/>
        </w:rPr>
        <w:t xml:space="preserve"> note </w:t>
      </w:r>
      <w:r w:rsidRPr="00036097">
        <w:rPr>
          <w:rFonts w:eastAsia="Century Schoolbook"/>
          <w:color w:val="000000"/>
        </w:rPr>
        <w:fldChar w:fldCharType="begin"/>
      </w:r>
      <w:r w:rsidRPr="00036097">
        <w:rPr>
          <w:rFonts w:eastAsia="Century Schoolbook"/>
          <w:color w:val="000000"/>
        </w:rPr>
        <w:instrText xml:space="preserve"> NOTEREF _Ref115604338 \h  \* MERGEFORMAT </w:instrText>
      </w:r>
      <w:r w:rsidRPr="00036097">
        <w:rPr>
          <w:rFonts w:eastAsia="Century Schoolbook"/>
          <w:color w:val="000000"/>
        </w:rPr>
      </w:r>
      <w:r w:rsidRPr="00036097">
        <w:rPr>
          <w:rFonts w:eastAsia="Century Schoolbook"/>
          <w:color w:val="000000"/>
        </w:rPr>
        <w:fldChar w:fldCharType="separate"/>
      </w:r>
      <w:r>
        <w:rPr>
          <w:rFonts w:eastAsia="Century Schoolbook"/>
          <w:color w:val="000000"/>
        </w:rPr>
        <w:t>53</w:t>
      </w:r>
      <w:r w:rsidRPr="00036097">
        <w:rPr>
          <w:rFonts w:eastAsia="Century Schoolbook"/>
          <w:color w:val="000000"/>
        </w:rPr>
        <w:fldChar w:fldCharType="end"/>
      </w:r>
      <w:r w:rsidRPr="00036097">
        <w:rPr>
          <w:rFonts w:eastAsia="Century Schoolbook"/>
          <w:color w:val="000000"/>
        </w:rPr>
        <w:t>,</w:t>
      </w:r>
      <w:r w:rsidRPr="009F549F">
        <w:rPr>
          <w:rFonts w:eastAsia="Century Schoolbook"/>
          <w:color w:val="000000"/>
        </w:rPr>
        <w:t xml:space="preserve"> at 544.</w:t>
      </w:r>
      <w:r w:rsidRPr="00036097">
        <w:rPr>
          <w:rFonts w:eastAsia="Century Schoolbook"/>
          <w:color w:val="000000"/>
        </w:rPr>
        <w:t xml:space="preserve"> </w:t>
      </w:r>
    </w:p>
  </w:footnote>
  <w:footnote w:id="277">
    <w:p w14:paraId="31C02E0D" w14:textId="77777777" w:rsidR="006E30B5" w:rsidRPr="009F549F" w:rsidRDefault="006E30B5">
      <w:pPr>
        <w:pBdr>
          <w:top w:val="nil"/>
          <w:left w:val="nil"/>
          <w:bottom w:val="nil"/>
          <w:right w:val="nil"/>
          <w:between w:val="nil"/>
        </w:pBdr>
        <w:rPr>
          <w:rFonts w:eastAsia="Century Schoolbook"/>
          <w:i/>
          <w:color w:val="000000"/>
        </w:rPr>
      </w:pPr>
      <w:r w:rsidRPr="009F549F">
        <w:rPr>
          <w:vertAlign w:val="superscript"/>
        </w:rPr>
        <w:footnoteRef/>
      </w:r>
      <w:r w:rsidRPr="009F549F">
        <w:rPr>
          <w:rFonts w:eastAsia="Century Schoolbook"/>
          <w:color w:val="000000"/>
        </w:rPr>
        <w:t xml:space="preserve"> </w:t>
      </w:r>
      <w:r w:rsidRPr="009F549F">
        <w:rPr>
          <w:rFonts w:eastAsia="Century Schoolbook"/>
          <w:i/>
          <w:color w:val="000000"/>
        </w:rPr>
        <w:t>Id.</w:t>
      </w:r>
    </w:p>
  </w:footnote>
  <w:footnote w:id="278">
    <w:p w14:paraId="34B37932" w14:textId="77777777" w:rsidR="006E30B5" w:rsidRPr="009F549F" w:rsidRDefault="006E30B5">
      <w:pPr>
        <w:pBdr>
          <w:top w:val="nil"/>
          <w:left w:val="nil"/>
          <w:bottom w:val="nil"/>
          <w:right w:val="nil"/>
          <w:between w:val="nil"/>
        </w:pBdr>
        <w:rPr>
          <w:rFonts w:eastAsia="Century Schoolbook"/>
          <w:i/>
          <w:color w:val="000000"/>
        </w:rPr>
      </w:pPr>
      <w:r w:rsidRPr="009F549F">
        <w:rPr>
          <w:vertAlign w:val="superscript"/>
        </w:rPr>
        <w:footnoteRef/>
      </w:r>
      <w:r w:rsidRPr="009F549F">
        <w:rPr>
          <w:rFonts w:eastAsia="Century Schoolbook"/>
          <w:color w:val="000000"/>
        </w:rPr>
        <w:t xml:space="preserve"> </w:t>
      </w:r>
      <w:r w:rsidRPr="009F549F">
        <w:rPr>
          <w:rFonts w:eastAsia="Century Schoolbook"/>
          <w:i/>
          <w:color w:val="000000"/>
        </w:rPr>
        <w:t>Id.</w:t>
      </w:r>
    </w:p>
  </w:footnote>
  <w:footnote w:id="279">
    <w:p w14:paraId="643D5026" w14:textId="23E4A9AF" w:rsidR="006E30B5" w:rsidRPr="009F549F" w:rsidRDefault="006E30B5">
      <w:pPr>
        <w:pBdr>
          <w:top w:val="nil"/>
          <w:left w:val="nil"/>
          <w:bottom w:val="nil"/>
          <w:right w:val="nil"/>
          <w:between w:val="nil"/>
        </w:pBdr>
        <w:rPr>
          <w:rFonts w:eastAsia="Century Schoolbook"/>
          <w:color w:val="000000"/>
        </w:rPr>
      </w:pPr>
      <w:r w:rsidRPr="009F549F">
        <w:rPr>
          <w:vertAlign w:val="superscript"/>
        </w:rPr>
        <w:footnoteRef/>
      </w:r>
      <w:r w:rsidRPr="00036097">
        <w:rPr>
          <w:rFonts w:eastAsia="Century Schoolbook"/>
          <w:color w:val="000000"/>
        </w:rPr>
        <w:t xml:space="preserve"> </w:t>
      </w:r>
      <w:r w:rsidRPr="00036097">
        <w:rPr>
          <w:rFonts w:eastAsia="Century Schoolbook"/>
          <w:i/>
          <w:color w:val="000000"/>
        </w:rPr>
        <w:t>See</w:t>
      </w:r>
      <w:r w:rsidRPr="00036097">
        <w:rPr>
          <w:rFonts w:eastAsia="Century Schoolbook"/>
          <w:color w:val="000000"/>
        </w:rPr>
        <w:t xml:space="preserve"> </w:t>
      </w:r>
      <w:r w:rsidRPr="00036097">
        <w:rPr>
          <w:rFonts w:eastAsia="Century Schoolbook"/>
          <w:i/>
          <w:color w:val="000000"/>
        </w:rPr>
        <w:t>supra</w:t>
      </w:r>
      <w:r w:rsidRPr="00036097">
        <w:rPr>
          <w:rFonts w:eastAsia="Century Schoolbook"/>
          <w:color w:val="000000"/>
        </w:rPr>
        <w:t xml:space="preserve"> Part </w:t>
      </w:r>
      <w:r w:rsidRPr="003B455E">
        <w:rPr>
          <w:rFonts w:eastAsia="Century Schoolbook"/>
          <w:color w:val="000000"/>
        </w:rPr>
        <w:fldChar w:fldCharType="begin"/>
      </w:r>
      <w:r w:rsidRPr="003B455E">
        <w:rPr>
          <w:rFonts w:eastAsia="Century Schoolbook"/>
          <w:color w:val="000000"/>
        </w:rPr>
        <w:instrText xml:space="preserve"> REF _Ref119430207 \h </w:instrText>
      </w:r>
      <w:r w:rsidRPr="005542BA">
        <w:rPr>
          <w:rFonts w:eastAsia="Century Schoolbook"/>
          <w:color w:val="000000"/>
        </w:rPr>
        <w:instrText xml:space="preserve"> \* MERGEFORMAT </w:instrText>
      </w:r>
      <w:r w:rsidRPr="003B455E">
        <w:rPr>
          <w:rFonts w:eastAsia="Century Schoolbook"/>
          <w:color w:val="000000"/>
        </w:rPr>
      </w:r>
      <w:r w:rsidRPr="003B455E">
        <w:rPr>
          <w:rFonts w:eastAsia="Century Schoolbook"/>
          <w:color w:val="000000"/>
        </w:rPr>
        <w:fldChar w:fldCharType="separate"/>
      </w:r>
      <w:r w:rsidRPr="009F549F">
        <w:t xml:space="preserve">C. </w:t>
      </w:r>
      <w:r w:rsidRPr="00C90F0B">
        <w:rPr>
          <w:i/>
        </w:rPr>
        <w:t xml:space="preserve">Putting </w:t>
      </w:r>
      <w:r>
        <w:rPr>
          <w:i/>
        </w:rPr>
        <w:t>I</w:t>
      </w:r>
      <w:r w:rsidRPr="00C90F0B">
        <w:rPr>
          <w:i/>
        </w:rPr>
        <w:t>t Off Until Tomorrow: Retrospective Taxation and Interest Charges</w:t>
      </w:r>
      <w:r w:rsidRPr="003B455E">
        <w:rPr>
          <w:rFonts w:eastAsia="Century Schoolbook"/>
          <w:color w:val="000000"/>
        </w:rPr>
        <w:fldChar w:fldCharType="end"/>
      </w:r>
      <w:r>
        <w:rPr>
          <w:rFonts w:eastAsia="Century Schoolbook"/>
          <w:color w:val="000000"/>
        </w:rPr>
        <w:t xml:space="preserve"> </w:t>
      </w:r>
      <w:r w:rsidRPr="00036097">
        <w:rPr>
          <w:rFonts w:eastAsia="Century Schoolbook"/>
          <w:color w:val="000000"/>
        </w:rPr>
        <w:t xml:space="preserve">(discussing other approaches and </w:t>
      </w:r>
      <w:r>
        <w:rPr>
          <w:rFonts w:eastAsia="Century Schoolbook"/>
          <w:color w:val="000000"/>
        </w:rPr>
        <w:t xml:space="preserve">also </w:t>
      </w:r>
      <w:r w:rsidRPr="00036097">
        <w:rPr>
          <w:rFonts w:eastAsia="Century Schoolbook"/>
          <w:color w:val="000000"/>
        </w:rPr>
        <w:t>the political o</w:t>
      </w:r>
      <w:r>
        <w:rPr>
          <w:rFonts w:eastAsia="Century Schoolbook"/>
          <w:color w:val="000000"/>
        </w:rPr>
        <w:t>p</w:t>
      </w:r>
      <w:r w:rsidRPr="00036097">
        <w:rPr>
          <w:rFonts w:eastAsia="Century Schoolbook"/>
          <w:color w:val="000000"/>
        </w:rPr>
        <w:t>t</w:t>
      </w:r>
      <w:r>
        <w:rPr>
          <w:rFonts w:eastAsia="Century Schoolbook"/>
          <w:color w:val="000000"/>
        </w:rPr>
        <w:t>ionality</w:t>
      </w:r>
      <w:r w:rsidRPr="00036097">
        <w:rPr>
          <w:rFonts w:eastAsia="Century Schoolbook"/>
          <w:color w:val="000000"/>
        </w:rPr>
        <w:t xml:space="preserve"> problem).</w:t>
      </w:r>
    </w:p>
  </w:footnote>
  <w:footnote w:id="280">
    <w:p w14:paraId="1F38AB9B" w14:textId="57D395B1" w:rsidR="006E30B5" w:rsidRPr="009F549F" w:rsidRDefault="006E30B5">
      <w:pPr>
        <w:pBdr>
          <w:top w:val="nil"/>
          <w:left w:val="nil"/>
          <w:bottom w:val="nil"/>
          <w:right w:val="nil"/>
          <w:between w:val="nil"/>
        </w:pBdr>
        <w:rPr>
          <w:rFonts w:eastAsia="Century Schoolbook"/>
          <w:color w:val="000000"/>
        </w:rPr>
      </w:pPr>
      <w:r w:rsidRPr="009F549F">
        <w:rPr>
          <w:vertAlign w:val="superscript"/>
        </w:rPr>
        <w:footnoteRef/>
      </w:r>
      <w:r w:rsidRPr="009F549F">
        <w:rPr>
          <w:rFonts w:eastAsia="Century Schoolbook"/>
          <w:color w:val="000000"/>
        </w:rPr>
        <w:t xml:space="preserve"> Schenk, </w:t>
      </w:r>
      <w:r w:rsidRPr="009F549F">
        <w:rPr>
          <w:rFonts w:eastAsia="Century Schoolbook"/>
          <w:i/>
          <w:color w:val="000000"/>
        </w:rPr>
        <w:t>supra</w:t>
      </w:r>
      <w:r w:rsidRPr="009F549F">
        <w:rPr>
          <w:rFonts w:eastAsia="Century Schoolbook"/>
          <w:color w:val="000000"/>
        </w:rPr>
        <w:t xml:space="preserve"> note </w:t>
      </w:r>
      <w:r w:rsidRPr="00036097">
        <w:rPr>
          <w:rFonts w:eastAsia="Century Schoolbook"/>
          <w:color w:val="000000"/>
        </w:rPr>
        <w:fldChar w:fldCharType="begin"/>
      </w:r>
      <w:r w:rsidRPr="00036097">
        <w:rPr>
          <w:rFonts w:eastAsia="Century Schoolbook"/>
          <w:color w:val="000000"/>
        </w:rPr>
        <w:instrText xml:space="preserve"> NOTEREF _Ref115604338 \h  \* MERGEFORMAT </w:instrText>
      </w:r>
      <w:r w:rsidRPr="00036097">
        <w:rPr>
          <w:rFonts w:eastAsia="Century Schoolbook"/>
          <w:color w:val="000000"/>
        </w:rPr>
      </w:r>
      <w:r w:rsidRPr="00036097">
        <w:rPr>
          <w:rFonts w:eastAsia="Century Schoolbook"/>
          <w:color w:val="000000"/>
        </w:rPr>
        <w:fldChar w:fldCharType="separate"/>
      </w:r>
      <w:r>
        <w:rPr>
          <w:rFonts w:eastAsia="Century Schoolbook"/>
          <w:color w:val="000000"/>
        </w:rPr>
        <w:t>53</w:t>
      </w:r>
      <w:r w:rsidRPr="00036097">
        <w:rPr>
          <w:rFonts w:eastAsia="Century Schoolbook"/>
          <w:color w:val="000000"/>
        </w:rPr>
        <w:fldChar w:fldCharType="end"/>
      </w:r>
      <w:r w:rsidRPr="00036097">
        <w:rPr>
          <w:rFonts w:eastAsia="Century Schoolbook"/>
          <w:color w:val="000000"/>
        </w:rPr>
        <w:t>,</w:t>
      </w:r>
      <w:r w:rsidRPr="009F549F">
        <w:rPr>
          <w:rFonts w:eastAsia="Century Schoolbook"/>
          <w:color w:val="000000"/>
        </w:rPr>
        <w:t xml:space="preserve"> at 545–48.</w:t>
      </w:r>
      <w:r w:rsidRPr="00036097">
        <w:rPr>
          <w:rFonts w:eastAsia="Century Schoolbook"/>
          <w:color w:val="000000"/>
        </w:rPr>
        <w:t xml:space="preserve"> </w:t>
      </w:r>
    </w:p>
  </w:footnote>
  <w:footnote w:id="281">
    <w:p w14:paraId="5C1C1F11" w14:textId="171360CB" w:rsidR="006E30B5" w:rsidRPr="009F549F" w:rsidRDefault="006E30B5">
      <w:pPr>
        <w:pBdr>
          <w:top w:val="nil"/>
          <w:left w:val="nil"/>
          <w:bottom w:val="nil"/>
          <w:right w:val="nil"/>
          <w:between w:val="nil"/>
        </w:pBdr>
        <w:rPr>
          <w:rFonts w:eastAsia="Century Schoolbook"/>
          <w:color w:val="000000"/>
        </w:rPr>
      </w:pPr>
      <w:r w:rsidRPr="009F549F">
        <w:rPr>
          <w:vertAlign w:val="superscript"/>
        </w:rPr>
        <w:footnoteRef/>
      </w:r>
      <w:r w:rsidRPr="009F549F">
        <w:rPr>
          <w:rFonts w:eastAsia="Century Schoolbook"/>
          <w:color w:val="000000"/>
        </w:rPr>
        <w:t xml:space="preserve"> By specifying that the stock is purchased on January 1, we abstract from partial year issues. </w:t>
      </w:r>
      <w:r w:rsidRPr="009F549F">
        <w:rPr>
          <w:rFonts w:eastAsia="Century Schoolbook"/>
          <w:color w:val="000000"/>
        </w:rPr>
        <w:t xml:space="preserve">Also, by specifying that the stock is purchased in 2022, </w:t>
      </w:r>
      <w:r>
        <w:rPr>
          <w:rFonts w:ascii="Century Schoolbook" w:eastAsia="Century Schoolbook" w:hAnsi="Century Schoolbook" w:cs="Century Schoolbook"/>
          <w:color w:val="000000"/>
          <w:sz w:val="20"/>
          <w:szCs w:val="20"/>
        </w:rPr>
        <w:t>we also abstract from the issues</w:t>
      </w:r>
      <w:r w:rsidRPr="009F549F">
        <w:rPr>
          <w:rFonts w:eastAsia="Century Schoolbook"/>
          <w:color w:val="000000"/>
        </w:rPr>
        <w:t xml:space="preserve"> of how to treat preexisting built-in gains at the time </w:t>
      </w:r>
      <w:r>
        <w:rPr>
          <w:rFonts w:ascii="Century Schoolbook" w:eastAsia="Century Schoolbook" w:hAnsi="Century Schoolbook" w:cs="Century Schoolbook"/>
          <w:color w:val="000000"/>
          <w:sz w:val="20"/>
          <w:szCs w:val="20"/>
        </w:rPr>
        <w:t xml:space="preserve">an ULTRA is first initiated or </w:t>
      </w:r>
      <w:r w:rsidRPr="009F549F">
        <w:rPr>
          <w:rFonts w:eastAsia="Century Schoolbook"/>
          <w:color w:val="000000"/>
        </w:rPr>
        <w:t xml:space="preserve">a new mark-to-market regime is adopted. </w:t>
      </w:r>
    </w:p>
  </w:footnote>
  <w:footnote w:id="282">
    <w:p w14:paraId="3DE0AD23" w14:textId="467CB617" w:rsidR="006E30B5" w:rsidRPr="009F549F" w:rsidRDefault="006E30B5">
      <w:pPr>
        <w:pBdr>
          <w:top w:val="nil"/>
          <w:left w:val="nil"/>
          <w:bottom w:val="nil"/>
          <w:right w:val="nil"/>
          <w:between w:val="nil"/>
        </w:pBdr>
        <w:rPr>
          <w:rFonts w:eastAsia="Century Schoolbook"/>
          <w:color w:val="000000"/>
        </w:rPr>
      </w:pPr>
      <w:r w:rsidRPr="009F549F">
        <w:rPr>
          <w:vertAlign w:val="superscript"/>
        </w:rPr>
        <w:footnoteRef/>
      </w:r>
      <w:r w:rsidRPr="009F549F">
        <w:rPr>
          <w:rFonts w:eastAsia="Century Schoolbook"/>
          <w:color w:val="000000"/>
        </w:rPr>
        <w:t xml:space="preserve"> That is, ($</w:t>
      </w:r>
      <w:r w:rsidRPr="00180D1F">
        <w:rPr>
          <w:rFonts w:eastAsia="Century Schoolbook"/>
          <w:color w:val="000000"/>
        </w:rPr>
        <w:t>2</w:t>
      </w:r>
      <w:r w:rsidRPr="009F549F">
        <w:rPr>
          <w:rFonts w:eastAsia="Century Schoolbook"/>
          <w:color w:val="000000"/>
        </w:rPr>
        <w:t xml:space="preserve"> billion</w:t>
      </w:r>
      <w:r w:rsidRPr="00180D1F">
        <w:rPr>
          <w:rFonts w:eastAsia="Century Schoolbook"/>
          <w:color w:val="000000"/>
        </w:rPr>
        <w:t xml:space="preserve"> </w:t>
      </w:r>
      <w:r w:rsidRPr="009F549F">
        <w:rPr>
          <w:rFonts w:eastAsia="Century Schoolbook"/>
          <w:color w:val="000000"/>
        </w:rPr>
        <w:t>−</w:t>
      </w:r>
      <w:r w:rsidRPr="00180D1F">
        <w:rPr>
          <w:rFonts w:eastAsia="Century Schoolbook"/>
          <w:color w:val="000000"/>
        </w:rPr>
        <w:t xml:space="preserve"> $22</w:t>
      </w:r>
      <w:r w:rsidRPr="009F549F">
        <w:rPr>
          <w:rFonts w:eastAsia="Century Schoolbook"/>
          <w:color w:val="000000"/>
        </w:rPr>
        <w:t xml:space="preserve"> million</w:t>
      </w:r>
      <w:r w:rsidRPr="00180D1F">
        <w:rPr>
          <w:rFonts w:eastAsia="Century Schoolbook"/>
          <w:color w:val="000000"/>
        </w:rPr>
        <w:t xml:space="preserve">) </w:t>
      </w:r>
      <w:r w:rsidRPr="009F549F">
        <w:rPr>
          <w:rFonts w:eastAsia="Century Schoolbook"/>
          <w:color w:val="000000"/>
        </w:rPr>
        <w:t>×</w:t>
      </w:r>
      <w:r w:rsidRPr="00180D1F">
        <w:rPr>
          <w:rFonts w:eastAsia="Century Schoolbook"/>
          <w:color w:val="000000"/>
        </w:rPr>
        <w:t xml:space="preserve"> </w:t>
      </w:r>
      <w:r w:rsidRPr="009F549F">
        <w:rPr>
          <w:rFonts w:eastAsia="Century Schoolbook"/>
          <w:color w:val="000000"/>
        </w:rPr>
        <w:t>{1 –</w:t>
      </w:r>
      <w:r w:rsidRPr="00180D1F">
        <w:rPr>
          <w:rFonts w:eastAsia="Century Schoolbook"/>
          <w:color w:val="000000"/>
        </w:rPr>
        <w:t xml:space="preserve"> </w:t>
      </w:r>
      <w:r w:rsidRPr="009F549F">
        <w:rPr>
          <w:rFonts w:eastAsia="Century Schoolbook"/>
          <w:color w:val="000000"/>
        </w:rPr>
        <w:t>[</w:t>
      </w:r>
      <w:r w:rsidRPr="00180D1F">
        <w:rPr>
          <w:rFonts w:eastAsia="Century Schoolbook"/>
          <w:color w:val="000000"/>
        </w:rPr>
        <w:t>($2</w:t>
      </w:r>
      <w:r w:rsidRPr="009F549F">
        <w:rPr>
          <w:rFonts w:eastAsia="Century Schoolbook"/>
          <w:color w:val="000000"/>
        </w:rPr>
        <w:t xml:space="preserve"> billion</w:t>
      </w:r>
      <w:r w:rsidRPr="00180D1F">
        <w:rPr>
          <w:rFonts w:eastAsia="Century Schoolbook"/>
          <w:color w:val="000000"/>
        </w:rPr>
        <w:t xml:space="preserve"> </w:t>
      </w:r>
      <w:r w:rsidRPr="009F549F">
        <w:rPr>
          <w:rFonts w:eastAsia="Century Schoolbook"/>
          <w:color w:val="000000"/>
        </w:rPr>
        <w:t>−</w:t>
      </w:r>
      <w:r w:rsidRPr="00180D1F">
        <w:rPr>
          <w:rFonts w:eastAsia="Century Schoolbook"/>
          <w:color w:val="000000"/>
        </w:rPr>
        <w:t xml:space="preserve"> $22</w:t>
      </w:r>
      <w:r w:rsidRPr="009F549F">
        <w:rPr>
          <w:rFonts w:eastAsia="Century Schoolbook"/>
          <w:color w:val="000000"/>
        </w:rPr>
        <w:t xml:space="preserve"> million</w:t>
      </w:r>
      <w:r w:rsidRPr="00180D1F">
        <w:rPr>
          <w:rFonts w:eastAsia="Century Schoolbook"/>
          <w:color w:val="000000"/>
        </w:rPr>
        <w:t>)/$1</w:t>
      </w:r>
      <w:r w:rsidRPr="009F549F">
        <w:rPr>
          <w:rFonts w:eastAsia="Century Schoolbook"/>
          <w:color w:val="000000"/>
        </w:rPr>
        <w:t xml:space="preserve"> billion]</w:t>
      </w:r>
      <w:r w:rsidRPr="00180D1F">
        <w:rPr>
          <w:rFonts w:eastAsia="Century Schoolbook"/>
          <w:color w:val="000000"/>
          <w:vertAlign w:val="superscript"/>
        </w:rPr>
        <w:t>-</w:t>
      </w:r>
      <w:r w:rsidRPr="009F549F">
        <w:rPr>
          <w:rFonts w:eastAsia="Century Schoolbook"/>
          <w:color w:val="000000"/>
          <w:vertAlign w:val="superscript"/>
        </w:rPr>
        <w:t>0</w:t>
      </w:r>
      <w:r w:rsidRPr="00180D1F">
        <w:rPr>
          <w:rFonts w:eastAsia="Century Schoolbook"/>
          <w:color w:val="000000"/>
          <w:vertAlign w:val="superscript"/>
        </w:rPr>
        <w:t>.2</w:t>
      </w:r>
      <w:r w:rsidRPr="009F549F">
        <w:rPr>
          <w:rFonts w:eastAsia="Century Schoolbook"/>
          <w:color w:val="000000"/>
        </w:rPr>
        <w:t>}, as derived from Land’s formula, which we detail in the Technical Appendix. As we also explain there, the total sale price for the asset is treated as the sale price plus the sum of all interim dividend payments and other distributions, which is where the $</w:t>
      </w:r>
      <w:r w:rsidRPr="00036097">
        <w:rPr>
          <w:rFonts w:eastAsia="Century Schoolbook"/>
          <w:color w:val="000000"/>
        </w:rPr>
        <w:t>2</w:t>
      </w:r>
      <w:r>
        <w:rPr>
          <w:rFonts w:eastAsia="Century Schoolbook"/>
          <w:color w:val="000000"/>
        </w:rPr>
        <w:t xml:space="preserve"> billion</w:t>
      </w:r>
      <w:r w:rsidRPr="009F549F">
        <w:rPr>
          <w:rFonts w:eastAsia="Century Schoolbook"/>
          <w:color w:val="000000"/>
        </w:rPr>
        <w:t xml:space="preserve"> figure comes from ($1.</w:t>
      </w:r>
      <w:r w:rsidRPr="00036097">
        <w:rPr>
          <w:rFonts w:eastAsia="Century Schoolbook"/>
          <w:color w:val="000000"/>
        </w:rPr>
        <w:t>8</w:t>
      </w:r>
      <w:r>
        <w:rPr>
          <w:rFonts w:eastAsia="Century Schoolbook"/>
          <w:color w:val="000000"/>
        </w:rPr>
        <w:t xml:space="preserve"> billion</w:t>
      </w:r>
      <w:r w:rsidRPr="009F549F">
        <w:rPr>
          <w:rFonts w:eastAsia="Century Schoolbook"/>
          <w:color w:val="000000"/>
        </w:rPr>
        <w:t xml:space="preserve"> sale price plus </w:t>
      </w:r>
      <w:r w:rsidRPr="00036097">
        <w:rPr>
          <w:rFonts w:eastAsia="Century Schoolbook"/>
          <w:color w:val="000000"/>
        </w:rPr>
        <w:t>$</w:t>
      </w:r>
      <w:r>
        <w:rPr>
          <w:rFonts w:eastAsia="Century Schoolbook"/>
          <w:color w:val="000000"/>
        </w:rPr>
        <w:t>0</w:t>
      </w:r>
      <w:r w:rsidRPr="00036097">
        <w:rPr>
          <w:rFonts w:eastAsia="Century Schoolbook"/>
          <w:color w:val="000000"/>
        </w:rPr>
        <w:t>.2</w:t>
      </w:r>
      <w:r>
        <w:rPr>
          <w:rFonts w:eastAsia="Century Schoolbook"/>
          <w:color w:val="000000"/>
        </w:rPr>
        <w:t xml:space="preserve"> billion</w:t>
      </w:r>
      <w:r w:rsidRPr="009F549F">
        <w:rPr>
          <w:rFonts w:eastAsia="Century Schoolbook"/>
          <w:color w:val="000000"/>
        </w:rPr>
        <w:t xml:space="preserve"> in dividends). This amount is then adjusted downwards by the aggregate amount of tax prepayments, here $</w:t>
      </w:r>
      <w:r w:rsidRPr="00036097">
        <w:rPr>
          <w:rFonts w:eastAsia="Century Schoolbook"/>
          <w:color w:val="000000"/>
        </w:rPr>
        <w:t>22</w:t>
      </w:r>
      <w:r>
        <w:rPr>
          <w:rFonts w:eastAsia="Century Schoolbook"/>
          <w:color w:val="000000"/>
        </w:rPr>
        <w:t xml:space="preserve"> million</w:t>
      </w:r>
      <w:r w:rsidRPr="00036097">
        <w:rPr>
          <w:rFonts w:eastAsia="Century Schoolbook"/>
          <w:color w:val="000000"/>
        </w:rPr>
        <w:t>. $1</w:t>
      </w:r>
      <w:r>
        <w:rPr>
          <w:rFonts w:eastAsia="Century Schoolbook"/>
          <w:color w:val="000000"/>
        </w:rPr>
        <w:t xml:space="preserve"> billion</w:t>
      </w:r>
      <w:r w:rsidRPr="009F549F">
        <w:rPr>
          <w:rFonts w:eastAsia="Century Schoolbook"/>
          <w:color w:val="000000"/>
        </w:rPr>
        <w:t xml:space="preserve"> in the formula is the basis amount, and </w:t>
      </w:r>
      <w:r>
        <w:rPr>
          <w:rFonts w:eastAsia="Century Schoolbook"/>
          <w:color w:val="000000"/>
        </w:rPr>
        <w:t>0</w:t>
      </w:r>
      <w:r w:rsidRPr="009F549F">
        <w:rPr>
          <w:rFonts w:eastAsia="Century Schoolbook"/>
          <w:color w:val="000000"/>
        </w:rPr>
        <w:t>.2</w:t>
      </w:r>
      <w:r>
        <w:rPr>
          <w:rFonts w:eastAsia="Century Schoolbook"/>
          <w:color w:val="000000"/>
        </w:rPr>
        <w:t xml:space="preserve"> percent</w:t>
      </w:r>
      <w:r w:rsidRPr="009F549F">
        <w:rPr>
          <w:rFonts w:eastAsia="Century Schoolbook"/>
          <w:color w:val="000000"/>
        </w:rPr>
        <w:t xml:space="preserve"> is the applicable tax rate</w:t>
      </w:r>
      <w:r>
        <w:rPr>
          <w:rFonts w:ascii="Century Schoolbook" w:eastAsia="Century Schoolbook" w:hAnsi="Century Schoolbook" w:cs="Century Schoolbook"/>
          <w:color w:val="000000"/>
          <w:sz w:val="20"/>
          <w:szCs w:val="20"/>
        </w:rPr>
        <w:t xml:space="preserve">. </w:t>
      </w:r>
    </w:p>
  </w:footnote>
  <w:footnote w:id="283">
    <w:p w14:paraId="271DF501" w14:textId="39625C42" w:rsidR="006E30B5" w:rsidRPr="009F549F" w:rsidRDefault="006E30B5">
      <w:pPr>
        <w:rPr>
          <w:rFonts w:eastAsia="Century Schoolbook"/>
        </w:rPr>
      </w:pPr>
      <w:r w:rsidRPr="009F549F">
        <w:rPr>
          <w:vertAlign w:val="superscript"/>
        </w:rPr>
        <w:footnoteRef/>
      </w:r>
      <w:r w:rsidRPr="009F549F">
        <w:rPr>
          <w:rFonts w:eastAsia="Century Schoolbook"/>
        </w:rPr>
        <w:t xml:space="preserve"> I.R.C. §§ 2503</w:t>
      </w:r>
      <w:r w:rsidRPr="006D614A">
        <w:rPr>
          <w:rFonts w:eastAsia="Century Schoolbook"/>
        </w:rPr>
        <w:t>;</w:t>
      </w:r>
      <w:r w:rsidRPr="009F549F">
        <w:rPr>
          <w:rFonts w:eastAsia="Century Schoolbook"/>
        </w:rPr>
        <w:t xml:space="preserve"> 2512. </w:t>
      </w:r>
    </w:p>
  </w:footnote>
  <w:footnote w:id="284">
    <w:p w14:paraId="434CE3D5" w14:textId="22A5E878" w:rsidR="006E30B5" w:rsidRPr="009F549F" w:rsidRDefault="006E30B5">
      <w:pPr>
        <w:rPr>
          <w:rFonts w:eastAsia="Century Schoolbook"/>
        </w:rPr>
      </w:pPr>
      <w:r w:rsidRPr="009F549F">
        <w:rPr>
          <w:vertAlign w:val="superscript"/>
        </w:rPr>
        <w:footnoteRef/>
      </w:r>
      <w:r w:rsidRPr="009F549F">
        <w:rPr>
          <w:rFonts w:eastAsia="Century Schoolbook"/>
        </w:rPr>
        <w:t xml:space="preserve"> </w:t>
      </w:r>
      <w:r w:rsidRPr="009F549F">
        <w:rPr>
          <w:rFonts w:eastAsia="Century Schoolbook"/>
          <w:i/>
        </w:rPr>
        <w:t>Estate Tax</w:t>
      </w:r>
      <w:r w:rsidRPr="009F549F">
        <w:rPr>
          <w:rFonts w:eastAsia="Century Schoolbook"/>
        </w:rPr>
        <w:t xml:space="preserve">, </w:t>
      </w:r>
      <w:r w:rsidRPr="00036097">
        <w:rPr>
          <w:rFonts w:eastAsia="Century Schoolbook"/>
        </w:rPr>
        <w:t>I</w:t>
      </w:r>
      <w:r>
        <w:rPr>
          <w:rFonts w:eastAsia="Century Schoolbook"/>
        </w:rPr>
        <w:t>.</w:t>
      </w:r>
      <w:r w:rsidRPr="00036097">
        <w:rPr>
          <w:rFonts w:eastAsia="Century Schoolbook"/>
        </w:rPr>
        <w:t>R</w:t>
      </w:r>
      <w:r>
        <w:rPr>
          <w:rFonts w:eastAsia="Century Schoolbook"/>
        </w:rPr>
        <w:t>.</w:t>
      </w:r>
      <w:r w:rsidRPr="00036097">
        <w:rPr>
          <w:rFonts w:eastAsia="Century Schoolbook"/>
        </w:rPr>
        <w:t>S</w:t>
      </w:r>
      <w:r>
        <w:rPr>
          <w:rFonts w:eastAsia="Century Schoolbook"/>
        </w:rPr>
        <w:t>.</w:t>
      </w:r>
      <w:r w:rsidRPr="00036097">
        <w:rPr>
          <w:rFonts w:eastAsia="Century Schoolbook"/>
        </w:rPr>
        <w:t xml:space="preserve"> (Sept. 14, 2022),</w:t>
      </w:r>
      <w:r w:rsidRPr="009F549F">
        <w:rPr>
          <w:rFonts w:eastAsia="Century Schoolbook"/>
        </w:rPr>
        <w:t xml:space="preserve"> https://www.irs.gov/businesses/small-businesses-self-employed/estate-tax </w:t>
      </w:r>
      <w:r w:rsidRPr="00036097">
        <w:rPr>
          <w:rFonts w:eastAsia="Century Schoolbook"/>
        </w:rPr>
        <w:t>[https://perma.cc/YWF9-EZE4].</w:t>
      </w:r>
      <w:r w:rsidRPr="00036097" w:rsidDel="002E1F72">
        <w:rPr>
          <w:rFonts w:eastAsia="Century Schoolbook"/>
        </w:rPr>
        <w:t xml:space="preserve"> </w:t>
      </w:r>
    </w:p>
  </w:footnote>
  <w:footnote w:id="285">
    <w:p w14:paraId="77CD2C41" w14:textId="546CC779" w:rsidR="006E30B5" w:rsidRPr="009F549F" w:rsidRDefault="006E30B5">
      <w:pPr>
        <w:rPr>
          <w:rFonts w:eastAsia="Century Schoolbook"/>
          <w:b/>
        </w:rPr>
      </w:pPr>
      <w:r w:rsidRPr="009F549F">
        <w:rPr>
          <w:vertAlign w:val="superscript"/>
        </w:rPr>
        <w:footnoteRef/>
      </w:r>
      <w:r w:rsidRPr="009F549F">
        <w:rPr>
          <w:rFonts w:eastAsia="Century Schoolbook"/>
        </w:rPr>
        <w:t xml:space="preserve"> </w:t>
      </w:r>
      <w:r>
        <w:rPr>
          <w:rFonts w:eastAsia="Century Schoolbook"/>
          <w:i/>
          <w:iCs/>
        </w:rPr>
        <w:t xml:space="preserve">See </w:t>
      </w:r>
      <w:r w:rsidRPr="00036097">
        <w:rPr>
          <w:rFonts w:eastAsia="Century Schoolbook"/>
          <w:smallCaps/>
        </w:rPr>
        <w:t>Dennis L. Belcher &amp; Mary Louise Fellows</w:t>
      </w:r>
      <w:r w:rsidRPr="009F549F">
        <w:rPr>
          <w:rFonts w:eastAsia="Century Schoolbook"/>
          <w:smallCaps/>
        </w:rPr>
        <w:t>, Report on Reform of Federal Wealth Transfer Taxes</w:t>
      </w:r>
      <w:r w:rsidRPr="009F549F">
        <w:rPr>
          <w:rFonts w:eastAsia="Century Schoolbook"/>
        </w:rPr>
        <w:t xml:space="preserve"> 101–15 (2004</w:t>
      </w:r>
      <w:r w:rsidRPr="00036097">
        <w:rPr>
          <w:rFonts w:eastAsia="Century Schoolbook"/>
        </w:rPr>
        <w:t>)</w:t>
      </w:r>
      <w:r w:rsidRPr="00036097" w:rsidDel="000A43C1">
        <w:rPr>
          <w:rFonts w:eastAsia="Century Schoolbook"/>
        </w:rPr>
        <w:t xml:space="preserve"> </w:t>
      </w:r>
      <w:r w:rsidRPr="00002367">
        <w:rPr>
          <w:rFonts w:eastAsia="Century Schoolbook"/>
          <w:highlight w:val="yellow"/>
        </w:rPr>
        <w:t>(</w:t>
      </w:r>
      <w:r>
        <w:rPr>
          <w:rFonts w:eastAsia="Century Schoolbook"/>
          <w:highlight w:val="yellow"/>
        </w:rPr>
        <w:t xml:space="preserve">describing valuation challenges in the estate tax) </w:t>
      </w:r>
      <w:r>
        <w:rPr>
          <w:rFonts w:eastAsia="Century Schoolbook"/>
          <w:i/>
          <w:iCs/>
        </w:rPr>
        <w:t>see also</w:t>
      </w:r>
      <w:r w:rsidRPr="009F549F">
        <w:rPr>
          <w:rFonts w:eastAsia="Century Schoolbook"/>
          <w:i/>
        </w:rPr>
        <w:t xml:space="preserve"> </w:t>
      </w:r>
      <w:r w:rsidRPr="009F549F">
        <w:rPr>
          <w:rFonts w:eastAsia="Century Schoolbook"/>
        </w:rPr>
        <w:t xml:space="preserve">Wendy C. </w:t>
      </w:r>
      <w:proofErr w:type="spellStart"/>
      <w:r w:rsidRPr="009F549F">
        <w:rPr>
          <w:rFonts w:eastAsia="Century Schoolbook"/>
        </w:rPr>
        <w:t>Gerzog</w:t>
      </w:r>
      <w:proofErr w:type="spellEnd"/>
      <w:r w:rsidRPr="009F549F">
        <w:rPr>
          <w:rFonts w:eastAsia="Century Schoolbook"/>
        </w:rPr>
        <w:t xml:space="preserve">, </w:t>
      </w:r>
      <w:r w:rsidRPr="009F549F">
        <w:rPr>
          <w:rFonts w:eastAsia="Century Schoolbook"/>
          <w:i/>
        </w:rPr>
        <w:t>Toward a Reality-Based Estate Tax</w:t>
      </w:r>
      <w:r w:rsidRPr="009F549F">
        <w:rPr>
          <w:rFonts w:eastAsia="Century Schoolbook"/>
        </w:rPr>
        <w:t xml:space="preserve">, 57 B.C. L. </w:t>
      </w:r>
      <w:r w:rsidRPr="009F549F">
        <w:rPr>
          <w:rFonts w:eastAsia="Century Schoolbook"/>
          <w:smallCaps/>
        </w:rPr>
        <w:t>Rev</w:t>
      </w:r>
      <w:r w:rsidRPr="009F549F">
        <w:rPr>
          <w:rFonts w:eastAsia="Century Schoolbook"/>
        </w:rPr>
        <w:t>. 1037, 1053 (2016)</w:t>
      </w:r>
      <w:r>
        <w:rPr>
          <w:rFonts w:eastAsia="Century Schoolbook"/>
        </w:rPr>
        <w:t xml:space="preserve"> (same)</w:t>
      </w:r>
      <w:r w:rsidRPr="009F549F">
        <w:rPr>
          <w:rFonts w:eastAsia="Century Schoolbook"/>
        </w:rPr>
        <w:t>.</w:t>
      </w:r>
      <w:r w:rsidRPr="00036097">
        <w:rPr>
          <w:rFonts w:eastAsia="Century Schoolbook"/>
        </w:rPr>
        <w:t xml:space="preserve"> </w:t>
      </w:r>
    </w:p>
  </w:footnote>
  <w:footnote w:id="286">
    <w:p w14:paraId="1527BD91" w14:textId="6589A9FA" w:rsidR="006E30B5" w:rsidRPr="009F549F" w:rsidRDefault="006E30B5">
      <w:pPr>
        <w:rPr>
          <w:rFonts w:eastAsia="Century Schoolbook"/>
        </w:rPr>
      </w:pPr>
      <w:r w:rsidRPr="009F549F">
        <w:rPr>
          <w:vertAlign w:val="superscript"/>
        </w:rPr>
        <w:footnoteRef/>
      </w:r>
      <w:r w:rsidRPr="009F549F">
        <w:rPr>
          <w:rFonts w:eastAsia="Century Schoolbook"/>
        </w:rPr>
        <w:t xml:space="preserve"> Mitchell M. </w:t>
      </w:r>
      <w:proofErr w:type="spellStart"/>
      <w:r w:rsidRPr="009F549F">
        <w:rPr>
          <w:rFonts w:eastAsia="Century Schoolbook"/>
        </w:rPr>
        <w:t>Gans</w:t>
      </w:r>
      <w:proofErr w:type="spellEnd"/>
      <w:r w:rsidRPr="009F549F">
        <w:rPr>
          <w:rFonts w:eastAsia="Century Schoolbook"/>
        </w:rPr>
        <w:t xml:space="preserve"> &amp; Jay </w:t>
      </w:r>
      <w:r w:rsidRPr="00036097">
        <w:rPr>
          <w:rFonts w:eastAsia="Century Schoolbook"/>
        </w:rPr>
        <w:t xml:space="preserve">A. </w:t>
      </w:r>
      <w:r w:rsidRPr="009F549F">
        <w:rPr>
          <w:rFonts w:eastAsia="Century Schoolbook"/>
        </w:rPr>
        <w:t xml:space="preserve">Soled, </w:t>
      </w:r>
      <w:r w:rsidRPr="009F549F">
        <w:rPr>
          <w:rFonts w:eastAsia="Century Schoolbook"/>
          <w:i/>
        </w:rPr>
        <w:t>Reforming the Gift Tax and Making It Enforceable</w:t>
      </w:r>
      <w:r w:rsidRPr="009F549F">
        <w:rPr>
          <w:rFonts w:eastAsia="Century Schoolbook"/>
        </w:rPr>
        <w:t xml:space="preserve">, 87 B.U. L. </w:t>
      </w:r>
      <w:r w:rsidRPr="009F549F">
        <w:rPr>
          <w:rFonts w:eastAsia="Century Schoolbook"/>
          <w:smallCaps/>
        </w:rPr>
        <w:t>Rev</w:t>
      </w:r>
      <w:r w:rsidRPr="009F549F">
        <w:rPr>
          <w:rFonts w:eastAsia="Century Schoolbook"/>
        </w:rPr>
        <w:t>. 759, 762 (2007).</w:t>
      </w:r>
    </w:p>
  </w:footnote>
  <w:footnote w:id="287">
    <w:p w14:paraId="30A01235" w14:textId="6C2D4EBC" w:rsidR="006E30B5" w:rsidRPr="009F549F" w:rsidRDefault="006E30B5">
      <w:pPr>
        <w:rPr>
          <w:rFonts w:eastAsia="Century Schoolbook"/>
          <w:b/>
        </w:rPr>
      </w:pPr>
      <w:r w:rsidRPr="009F549F">
        <w:rPr>
          <w:vertAlign w:val="superscript"/>
        </w:rPr>
        <w:footnoteRef/>
      </w:r>
      <w:r w:rsidRPr="009F549F">
        <w:rPr>
          <w:rFonts w:eastAsia="Century Schoolbook"/>
        </w:rPr>
        <w:t xml:space="preserve"> </w:t>
      </w:r>
      <w:r w:rsidRPr="009F549F">
        <w:rPr>
          <w:rFonts w:eastAsia="Century Schoolbook"/>
          <w:i/>
        </w:rPr>
        <w:t>Id.</w:t>
      </w:r>
      <w:r w:rsidRPr="009F549F">
        <w:rPr>
          <w:rFonts w:eastAsia="Century Schoolbook"/>
        </w:rPr>
        <w:t xml:space="preserve"> </w:t>
      </w:r>
      <w:r w:rsidRPr="009F549F">
        <w:rPr>
          <w:rFonts w:eastAsia="Century Schoolbook"/>
        </w:rPr>
        <w:t>at 761–62</w:t>
      </w:r>
      <w:r w:rsidRPr="00036097">
        <w:rPr>
          <w:rFonts w:eastAsia="Century Schoolbook"/>
        </w:rPr>
        <w:t xml:space="preserve">. </w:t>
      </w:r>
    </w:p>
  </w:footnote>
  <w:footnote w:id="288">
    <w:p w14:paraId="07E74D61" w14:textId="0C4B28A0" w:rsidR="006E30B5" w:rsidRPr="009F549F" w:rsidRDefault="006E30B5">
      <w:pPr>
        <w:rPr>
          <w:rFonts w:eastAsia="Century Schoolbook"/>
          <w:b/>
        </w:rPr>
      </w:pPr>
      <w:r w:rsidRPr="009F549F">
        <w:rPr>
          <w:vertAlign w:val="superscript"/>
        </w:rPr>
        <w:footnoteRef/>
      </w:r>
      <w:r w:rsidRPr="009F549F">
        <w:rPr>
          <w:rFonts w:eastAsia="Century Schoolbook"/>
        </w:rPr>
        <w:t xml:space="preserve"> </w:t>
      </w:r>
      <w:r w:rsidRPr="00036097">
        <w:rPr>
          <w:rFonts w:eastAsia="Century Schoolbook"/>
          <w:i/>
          <w:iCs/>
        </w:rPr>
        <w:t>See, e.g.</w:t>
      </w:r>
      <w:r w:rsidRPr="00A607BD">
        <w:rPr>
          <w:rFonts w:eastAsia="Century Schoolbook"/>
        </w:rPr>
        <w:t>,</w:t>
      </w:r>
      <w:r w:rsidRPr="00036097">
        <w:rPr>
          <w:rFonts w:eastAsia="Century Schoolbook"/>
          <w:i/>
        </w:rPr>
        <w:t xml:space="preserve"> </w:t>
      </w:r>
      <w:r w:rsidRPr="009F549F">
        <w:rPr>
          <w:rFonts w:eastAsia="Century Schoolbook"/>
        </w:rPr>
        <w:t xml:space="preserve">Jay A. </w:t>
      </w:r>
      <w:r w:rsidRPr="009F549F">
        <w:rPr>
          <w:rFonts w:eastAsia="Century Schoolbook"/>
        </w:rPr>
        <w:t xml:space="preserve">Soled &amp; Mitchell </w:t>
      </w:r>
      <w:proofErr w:type="spellStart"/>
      <w:r w:rsidRPr="009F549F">
        <w:rPr>
          <w:rFonts w:eastAsia="Century Schoolbook"/>
        </w:rPr>
        <w:t>Gans</w:t>
      </w:r>
      <w:proofErr w:type="spellEnd"/>
      <w:r w:rsidRPr="009F549F">
        <w:rPr>
          <w:rFonts w:eastAsia="Century Schoolbook"/>
        </w:rPr>
        <w:t xml:space="preserve">, </w:t>
      </w:r>
      <w:r w:rsidRPr="009F549F">
        <w:rPr>
          <w:rFonts w:eastAsia="Century Schoolbook"/>
          <w:i/>
        </w:rPr>
        <w:t xml:space="preserve">Sales to Grantor Trusts: A Case Study of What the IRS and Congress Can Do </w:t>
      </w:r>
      <w:r w:rsidRPr="00036097">
        <w:rPr>
          <w:rFonts w:eastAsia="Century Schoolbook"/>
          <w:i/>
        </w:rPr>
        <w:t>To</w:t>
      </w:r>
      <w:r w:rsidRPr="009F549F">
        <w:rPr>
          <w:rFonts w:eastAsia="Century Schoolbook"/>
          <w:i/>
        </w:rPr>
        <w:t xml:space="preserve"> Curb Aggressive Transfer Tax Techniques</w:t>
      </w:r>
      <w:r w:rsidRPr="009F549F">
        <w:rPr>
          <w:rFonts w:eastAsia="Century Schoolbook"/>
        </w:rPr>
        <w:t xml:space="preserve">, 78 </w:t>
      </w:r>
      <w:r w:rsidRPr="009F549F">
        <w:rPr>
          <w:rFonts w:eastAsia="Century Schoolbook"/>
          <w:smallCaps/>
        </w:rPr>
        <w:t>Tenn. L. Rev.</w:t>
      </w:r>
      <w:r w:rsidRPr="009F549F">
        <w:rPr>
          <w:rFonts w:eastAsia="Century Schoolbook"/>
        </w:rPr>
        <w:t xml:space="preserve"> 973,  </w:t>
      </w:r>
      <w:r>
        <w:rPr>
          <w:rFonts w:eastAsia="Century Schoolbook"/>
        </w:rPr>
        <w:t xml:space="preserve">975–86 </w:t>
      </w:r>
      <w:r w:rsidRPr="009F549F">
        <w:rPr>
          <w:rFonts w:eastAsia="Century Schoolbook"/>
        </w:rPr>
        <w:t>(2011</w:t>
      </w:r>
      <w:r w:rsidRPr="00036097">
        <w:rPr>
          <w:rFonts w:eastAsia="Century Schoolbook"/>
        </w:rPr>
        <w:t>) (</w:t>
      </w:r>
      <w:r>
        <w:rPr>
          <w:rFonts w:eastAsia="Century Schoolbook"/>
        </w:rPr>
        <w:t>summarizing several common techniques for minimizing transfer taxes</w:t>
      </w:r>
      <w:r w:rsidRPr="00036097">
        <w:rPr>
          <w:rFonts w:eastAsia="Century Schoolbook"/>
        </w:rPr>
        <w:t xml:space="preserve">). </w:t>
      </w:r>
    </w:p>
  </w:footnote>
  <w:footnote w:id="289">
    <w:p w14:paraId="4F9038B6" w14:textId="027F7C6A" w:rsidR="006E30B5" w:rsidRPr="009F549F" w:rsidRDefault="006E30B5">
      <w:pPr>
        <w:rPr>
          <w:rFonts w:eastAsia="Century Schoolbook"/>
        </w:rPr>
      </w:pPr>
      <w:r w:rsidRPr="009F549F">
        <w:rPr>
          <w:vertAlign w:val="superscript"/>
        </w:rPr>
        <w:footnoteRef/>
      </w:r>
      <w:r w:rsidRPr="009F549F">
        <w:rPr>
          <w:rFonts w:eastAsia="Century Schoolbook"/>
        </w:rPr>
        <w:t xml:space="preserve"> Karen Burke, </w:t>
      </w:r>
      <w:r w:rsidRPr="009F549F">
        <w:rPr>
          <w:rFonts w:eastAsia="Century Schoolbook"/>
          <w:i/>
        </w:rPr>
        <w:t>Valuation Freezes After the 1988 Act: The Impact of 2036(c) on Closely-Held Businesses</w:t>
      </w:r>
      <w:r w:rsidRPr="009F549F">
        <w:rPr>
          <w:rFonts w:eastAsia="Century Schoolbook"/>
        </w:rPr>
        <w:t xml:space="preserve">, 31 </w:t>
      </w:r>
      <w:r w:rsidRPr="009F549F">
        <w:rPr>
          <w:rFonts w:eastAsia="Century Schoolbook"/>
          <w:smallCaps/>
        </w:rPr>
        <w:t xml:space="preserve">Wm. &amp; Mary L. Rev. </w:t>
      </w:r>
      <w:r w:rsidRPr="009F549F">
        <w:rPr>
          <w:rFonts w:eastAsia="Century Schoolbook"/>
        </w:rPr>
        <w:t>67, 70 (1989).</w:t>
      </w:r>
    </w:p>
  </w:footnote>
  <w:footnote w:id="290">
    <w:p w14:paraId="6ADC79FA" w14:textId="1C52675C" w:rsidR="006E30B5" w:rsidRPr="009F549F" w:rsidRDefault="006E30B5">
      <w:pPr>
        <w:rPr>
          <w:rFonts w:eastAsia="Century Schoolbook"/>
        </w:rPr>
      </w:pPr>
      <w:r w:rsidRPr="009F549F">
        <w:rPr>
          <w:vertAlign w:val="superscript"/>
        </w:rPr>
        <w:footnoteRef/>
      </w:r>
      <w:r w:rsidRPr="009F549F">
        <w:rPr>
          <w:rFonts w:eastAsia="Century Schoolbook"/>
        </w:rPr>
        <w:t xml:space="preserve"> </w:t>
      </w:r>
      <w:r w:rsidRPr="00036097">
        <w:rPr>
          <w:rFonts w:eastAsia="Century Schoolbook"/>
          <w:smallCaps/>
        </w:rPr>
        <w:t>Belcher &amp; Fellows</w:t>
      </w:r>
      <w:r w:rsidRPr="009F549F">
        <w:rPr>
          <w:rFonts w:eastAsia="Century Schoolbook"/>
        </w:rPr>
        <w:t xml:space="preserve">, </w:t>
      </w:r>
      <w:r w:rsidRPr="009F549F">
        <w:rPr>
          <w:rFonts w:eastAsia="Century Schoolbook"/>
          <w:i/>
        </w:rPr>
        <w:t>supra</w:t>
      </w:r>
      <w:r w:rsidRPr="009F549F">
        <w:rPr>
          <w:rFonts w:eastAsia="Century Schoolbook"/>
        </w:rPr>
        <w:t xml:space="preserve"> note </w:t>
      </w:r>
      <w:r>
        <w:rPr>
          <w:rFonts w:eastAsia="Century Schoolbook"/>
        </w:rPr>
        <w:fldChar w:fldCharType="begin"/>
      </w:r>
      <w:r>
        <w:rPr>
          <w:rFonts w:eastAsia="Century Schoolbook"/>
        </w:rPr>
        <w:instrText xml:space="preserve"> NOTEREF _Ref115467713 \h </w:instrText>
      </w:r>
      <w:r>
        <w:rPr>
          <w:rFonts w:eastAsia="Century Schoolbook"/>
        </w:rPr>
      </w:r>
      <w:r>
        <w:rPr>
          <w:rFonts w:eastAsia="Century Schoolbook"/>
        </w:rPr>
        <w:fldChar w:fldCharType="separate"/>
      </w:r>
      <w:r>
        <w:rPr>
          <w:rFonts w:eastAsia="Century Schoolbook"/>
        </w:rPr>
        <w:t>281</w:t>
      </w:r>
      <w:r>
        <w:rPr>
          <w:rFonts w:eastAsia="Century Schoolbook"/>
        </w:rPr>
        <w:fldChar w:fldCharType="end"/>
      </w:r>
      <w:r w:rsidRPr="00036097">
        <w:rPr>
          <w:rFonts w:eastAsia="Century Schoolbook"/>
        </w:rPr>
        <w:t>,</w:t>
      </w:r>
      <w:r w:rsidRPr="009F549F">
        <w:rPr>
          <w:rFonts w:eastAsia="Century Schoolbook"/>
        </w:rPr>
        <w:t xml:space="preserve"> at 115.</w:t>
      </w:r>
      <w:r w:rsidRPr="00036097">
        <w:rPr>
          <w:rFonts w:eastAsia="Century Schoolbook"/>
        </w:rPr>
        <w:t xml:space="preserve"> </w:t>
      </w:r>
    </w:p>
  </w:footnote>
  <w:footnote w:id="291">
    <w:p w14:paraId="27406030" w14:textId="5177EBBF" w:rsidR="006E30B5" w:rsidRPr="009F549F" w:rsidRDefault="006E30B5">
      <w:pPr>
        <w:rPr>
          <w:rFonts w:eastAsia="Century Schoolbook"/>
          <w:b/>
        </w:rPr>
      </w:pPr>
      <w:r w:rsidRPr="009F549F">
        <w:rPr>
          <w:vertAlign w:val="superscript"/>
        </w:rPr>
        <w:footnoteRef/>
      </w:r>
      <w:r w:rsidRPr="009F549F">
        <w:rPr>
          <w:rFonts w:eastAsia="Century Schoolbook"/>
        </w:rPr>
        <w:t xml:space="preserve"> This approach prevents income shifting by a high-bracket decedent to a low-bracket heir. </w:t>
      </w:r>
      <w:r w:rsidRPr="009F549F">
        <w:rPr>
          <w:rFonts w:eastAsia="Century Schoolbook"/>
          <w:i/>
        </w:rPr>
        <w:t>See</w:t>
      </w:r>
      <w:r w:rsidRPr="009F549F">
        <w:rPr>
          <w:rFonts w:eastAsia="Century Schoolbook"/>
        </w:rPr>
        <w:t xml:space="preserve"> Dodge, </w:t>
      </w:r>
      <w:r w:rsidRPr="009F549F">
        <w:rPr>
          <w:rFonts w:eastAsia="Century Schoolbook"/>
          <w:i/>
        </w:rPr>
        <w:t>supra</w:t>
      </w:r>
      <w:r w:rsidRPr="009F549F">
        <w:rPr>
          <w:rFonts w:eastAsia="Century Schoolbook"/>
        </w:rPr>
        <w:t xml:space="preserve"> note </w:t>
      </w:r>
      <w:r w:rsidRPr="00036097">
        <w:rPr>
          <w:rFonts w:eastAsia="Century Schoolbook"/>
        </w:rPr>
        <w:fldChar w:fldCharType="begin"/>
      </w:r>
      <w:r w:rsidRPr="00036097">
        <w:rPr>
          <w:rFonts w:eastAsia="Century Schoolbook"/>
        </w:rPr>
        <w:instrText xml:space="preserve"> NOTEREF _Ref115346456 \h  \* MERGEFORMAT </w:instrText>
      </w:r>
      <w:r w:rsidRPr="00036097">
        <w:rPr>
          <w:rFonts w:eastAsia="Century Schoolbook"/>
        </w:rPr>
      </w:r>
      <w:r w:rsidRPr="00036097">
        <w:rPr>
          <w:rFonts w:eastAsia="Century Schoolbook"/>
        </w:rPr>
        <w:fldChar w:fldCharType="separate"/>
      </w:r>
      <w:r>
        <w:rPr>
          <w:rFonts w:eastAsia="Century Schoolbook"/>
        </w:rPr>
        <w:t>66</w:t>
      </w:r>
      <w:r w:rsidRPr="00036097">
        <w:rPr>
          <w:rFonts w:eastAsia="Century Schoolbook"/>
        </w:rPr>
        <w:fldChar w:fldCharType="end"/>
      </w:r>
      <w:r w:rsidRPr="00036097">
        <w:rPr>
          <w:rFonts w:eastAsia="Century Schoolbook"/>
        </w:rPr>
        <w:t>,</w:t>
      </w:r>
      <w:r w:rsidRPr="009F549F">
        <w:rPr>
          <w:rFonts w:eastAsia="Century Schoolbook"/>
        </w:rPr>
        <w:t xml:space="preserve"> at 434.</w:t>
      </w:r>
    </w:p>
  </w:footnote>
  <w:footnote w:id="292">
    <w:p w14:paraId="6BB6C85C" w14:textId="009BE63E" w:rsidR="006E30B5" w:rsidRPr="009F549F" w:rsidRDefault="006E30B5">
      <w:pPr>
        <w:rPr>
          <w:rFonts w:eastAsia="Century Schoolbook"/>
        </w:rPr>
      </w:pPr>
      <w:r w:rsidRPr="009F549F">
        <w:rPr>
          <w:vertAlign w:val="superscript"/>
        </w:rPr>
        <w:footnoteRef/>
      </w:r>
      <w:r w:rsidRPr="009F549F">
        <w:rPr>
          <w:rFonts w:eastAsia="Century Schoolbook"/>
        </w:rPr>
        <w:t xml:space="preserve"> In the case of gifted assets that are disposed of by the recipients before the death of the giver, where the giver has already exceeded their lifetime exemption amount, the ULTRA could be resolved at the time of disposition. </w:t>
      </w:r>
      <w:r w:rsidRPr="009F549F">
        <w:rPr>
          <w:rFonts w:eastAsia="Century Schoolbook"/>
        </w:rPr>
        <w:t>Admittedly, determining the best treatment in cases where it is not yet certain whether giver will ultimately transfer more than $12 million is not straightforward</w:t>
      </w:r>
      <w:r>
        <w:rPr>
          <w:rFonts w:ascii="Century Schoolbook" w:eastAsia="Century Schoolbook" w:hAnsi="Century Schoolbook" w:cs="Century Schoolbook"/>
          <w:sz w:val="20"/>
          <w:szCs w:val="20"/>
        </w:rPr>
        <w:t xml:space="preserve">. </w:t>
      </w:r>
      <w:r w:rsidRPr="009F549F">
        <w:rPr>
          <w:rFonts w:eastAsia="Century Schoolbook"/>
        </w:rPr>
        <w:t xml:space="preserve">Our tentative recommendation would be that the disposition would still trigger resolution of the ULTRA and payment of any tax as though none of the transferred value were covered by the exemption. When the giver eventually dies, the heir could receive a rebate in the amount of any exemption amount that would have been credited to the sold property, plus interest. </w:t>
      </w:r>
    </w:p>
  </w:footnote>
  <w:footnote w:id="293">
    <w:p w14:paraId="5E3150BB" w14:textId="61897DF7" w:rsidR="006E30B5" w:rsidRPr="009F549F" w:rsidRDefault="006E30B5">
      <w:pPr>
        <w:rPr>
          <w:rFonts w:eastAsia="Century Schoolbook"/>
        </w:rPr>
      </w:pPr>
      <w:r w:rsidRPr="009F549F">
        <w:rPr>
          <w:vertAlign w:val="superscript"/>
        </w:rPr>
        <w:footnoteRef/>
      </w:r>
      <w:r w:rsidRPr="009F549F">
        <w:rPr>
          <w:rFonts w:eastAsia="Century Schoolbook"/>
        </w:rPr>
        <w:t xml:space="preserve"> </w:t>
      </w:r>
      <w:r w:rsidRPr="009F549F">
        <w:rPr>
          <w:rFonts w:eastAsia="Century Schoolbook"/>
          <w:i/>
        </w:rPr>
        <w:t>See</w:t>
      </w:r>
      <w:r w:rsidRPr="009F549F">
        <w:rPr>
          <w:rFonts w:eastAsia="Century Schoolbook"/>
        </w:rPr>
        <w:t xml:space="preserve"> Dodge, </w:t>
      </w:r>
      <w:r w:rsidRPr="009F549F">
        <w:rPr>
          <w:rFonts w:eastAsia="Century Schoolbook"/>
          <w:i/>
        </w:rPr>
        <w:t>supra</w:t>
      </w:r>
      <w:r w:rsidRPr="009F549F">
        <w:rPr>
          <w:rFonts w:eastAsia="Century Schoolbook"/>
        </w:rPr>
        <w:t xml:space="preserve"> note </w:t>
      </w:r>
      <w:r w:rsidRPr="00036097">
        <w:rPr>
          <w:rFonts w:eastAsia="Century Schoolbook"/>
        </w:rPr>
        <w:fldChar w:fldCharType="begin"/>
      </w:r>
      <w:r w:rsidRPr="00036097">
        <w:rPr>
          <w:rFonts w:eastAsia="Century Schoolbook"/>
        </w:rPr>
        <w:instrText xml:space="preserve"> NOTEREF _Ref115346456 \h  \* MERGEFORMAT </w:instrText>
      </w:r>
      <w:r w:rsidRPr="00036097">
        <w:rPr>
          <w:rFonts w:eastAsia="Century Schoolbook"/>
        </w:rPr>
      </w:r>
      <w:r w:rsidRPr="00036097">
        <w:rPr>
          <w:rFonts w:eastAsia="Century Schoolbook"/>
        </w:rPr>
        <w:fldChar w:fldCharType="separate"/>
      </w:r>
      <w:r>
        <w:rPr>
          <w:rFonts w:eastAsia="Century Schoolbook"/>
        </w:rPr>
        <w:t>66</w:t>
      </w:r>
      <w:r w:rsidRPr="00036097">
        <w:rPr>
          <w:rFonts w:eastAsia="Century Schoolbook"/>
        </w:rPr>
        <w:fldChar w:fldCharType="end"/>
      </w:r>
      <w:r w:rsidRPr="00036097">
        <w:rPr>
          <w:rFonts w:eastAsia="Century Schoolbook"/>
        </w:rPr>
        <w:t>,</w:t>
      </w:r>
      <w:r w:rsidRPr="009F549F">
        <w:rPr>
          <w:rFonts w:eastAsia="Century Schoolbook"/>
        </w:rPr>
        <w:t xml:space="preserve"> at 441 (noting that most state inheritance laws apportion death tax liability pro rata among bequeathed assets, unless decedent elects otherwise).</w:t>
      </w:r>
    </w:p>
  </w:footnote>
  <w:footnote w:id="294">
    <w:p w14:paraId="24F2F193" w14:textId="5F82B0FC" w:rsidR="006E30B5" w:rsidRPr="009F549F" w:rsidRDefault="006E30B5">
      <w:pPr>
        <w:rPr>
          <w:rFonts w:eastAsia="Century Schoolbook"/>
        </w:rPr>
      </w:pPr>
      <w:r w:rsidRPr="009F549F">
        <w:rPr>
          <w:vertAlign w:val="superscript"/>
        </w:rPr>
        <w:footnoteRef/>
      </w:r>
      <w:r w:rsidRPr="009F549F">
        <w:rPr>
          <w:rFonts w:eastAsia="Century Schoolbook"/>
        </w:rPr>
        <w:t xml:space="preserve"> I.R.C. § 102; Treas. Reg. § 1.1001-1(e).</w:t>
      </w:r>
      <w:r w:rsidRPr="00036097">
        <w:rPr>
          <w:rFonts w:eastAsia="Century Schoolbook"/>
        </w:rPr>
        <w:t xml:space="preserve"> </w:t>
      </w:r>
    </w:p>
  </w:footnote>
  <w:footnote w:id="295">
    <w:p w14:paraId="172A4D80" w14:textId="41072A23" w:rsidR="006E30B5" w:rsidRPr="009F549F" w:rsidRDefault="006E30B5">
      <w:pPr>
        <w:rPr>
          <w:rFonts w:eastAsia="Century Schoolbook"/>
        </w:rPr>
      </w:pPr>
      <w:r w:rsidRPr="009F549F">
        <w:rPr>
          <w:vertAlign w:val="superscript"/>
        </w:rPr>
        <w:footnoteRef/>
      </w:r>
      <w:r w:rsidRPr="009F549F">
        <w:rPr>
          <w:rFonts w:eastAsia="Century Schoolbook"/>
        </w:rPr>
        <w:t xml:space="preserve"> Dodge, </w:t>
      </w:r>
      <w:r w:rsidRPr="009F549F">
        <w:rPr>
          <w:rFonts w:eastAsia="Century Schoolbook"/>
          <w:i/>
        </w:rPr>
        <w:t>supra</w:t>
      </w:r>
      <w:r w:rsidRPr="009F549F">
        <w:rPr>
          <w:rFonts w:eastAsia="Century Schoolbook"/>
        </w:rPr>
        <w:t xml:space="preserve"> note </w:t>
      </w:r>
      <w:r w:rsidRPr="00036097">
        <w:rPr>
          <w:rFonts w:eastAsia="Century Schoolbook"/>
        </w:rPr>
        <w:fldChar w:fldCharType="begin"/>
      </w:r>
      <w:r w:rsidRPr="00036097">
        <w:rPr>
          <w:rFonts w:eastAsia="Century Schoolbook"/>
        </w:rPr>
        <w:instrText xml:space="preserve"> NOTEREF _Ref115346456 \h  \* MERGEFORMAT </w:instrText>
      </w:r>
      <w:r w:rsidRPr="00036097">
        <w:rPr>
          <w:rFonts w:eastAsia="Century Schoolbook"/>
        </w:rPr>
      </w:r>
      <w:r w:rsidRPr="00036097">
        <w:rPr>
          <w:rFonts w:eastAsia="Century Schoolbook"/>
        </w:rPr>
        <w:fldChar w:fldCharType="separate"/>
      </w:r>
      <w:r>
        <w:rPr>
          <w:rFonts w:eastAsia="Century Schoolbook"/>
        </w:rPr>
        <w:t>66</w:t>
      </w:r>
      <w:r w:rsidRPr="00036097">
        <w:rPr>
          <w:rFonts w:eastAsia="Century Schoolbook"/>
        </w:rPr>
        <w:fldChar w:fldCharType="end"/>
      </w:r>
      <w:r w:rsidRPr="00036097">
        <w:rPr>
          <w:rFonts w:eastAsia="Century Schoolbook"/>
        </w:rPr>
        <w:t>,</w:t>
      </w:r>
      <w:r w:rsidRPr="009F549F">
        <w:rPr>
          <w:rFonts w:eastAsia="Century Schoolbook"/>
        </w:rPr>
        <w:t xml:space="preserve"> at 442. </w:t>
      </w:r>
    </w:p>
  </w:footnote>
  <w:footnote w:id="296">
    <w:p w14:paraId="4CEBEAB6" w14:textId="4AE84D5E" w:rsidR="006E30B5" w:rsidRPr="009F549F" w:rsidRDefault="006E30B5">
      <w:pPr>
        <w:rPr>
          <w:rFonts w:eastAsia="Century Schoolbook"/>
          <w:b/>
        </w:rPr>
      </w:pPr>
      <w:r w:rsidRPr="009F549F">
        <w:rPr>
          <w:vertAlign w:val="superscript"/>
        </w:rPr>
        <w:footnoteRef/>
      </w:r>
      <w:r w:rsidRPr="009F549F">
        <w:rPr>
          <w:rFonts w:eastAsia="Century Schoolbook"/>
        </w:rPr>
        <w:t xml:space="preserve"> </w:t>
      </w:r>
      <w:r w:rsidRPr="009F549F">
        <w:rPr>
          <w:rFonts w:eastAsia="Century Schoolbook"/>
          <w:i/>
        </w:rPr>
        <w:t>Id.</w:t>
      </w:r>
      <w:r w:rsidRPr="009F549F">
        <w:rPr>
          <w:rFonts w:eastAsia="Century Schoolbook"/>
        </w:rPr>
        <w:t xml:space="preserve"> </w:t>
      </w:r>
      <w:r w:rsidRPr="009F549F">
        <w:rPr>
          <w:rFonts w:eastAsia="Century Schoolbook"/>
        </w:rPr>
        <w:t>at 461, 463, 479</w:t>
      </w:r>
      <w:r w:rsidRPr="00036097">
        <w:rPr>
          <w:rFonts w:eastAsia="Century Schoolbook"/>
        </w:rPr>
        <w:t xml:space="preserve">. </w:t>
      </w:r>
    </w:p>
  </w:footnote>
  <w:footnote w:id="297">
    <w:p w14:paraId="11981F56" w14:textId="5A08CCAF" w:rsidR="006E30B5" w:rsidRPr="009F549F" w:rsidRDefault="006E30B5">
      <w:pPr>
        <w:rPr>
          <w:rFonts w:eastAsia="Century Schoolbook"/>
        </w:rPr>
      </w:pPr>
      <w:r w:rsidRPr="009F549F">
        <w:rPr>
          <w:vertAlign w:val="superscript"/>
        </w:rPr>
        <w:footnoteRef/>
      </w:r>
      <w:r w:rsidRPr="009F549F">
        <w:rPr>
          <w:rFonts w:eastAsia="Century Schoolbook"/>
        </w:rPr>
        <w:t xml:space="preserve"> </w:t>
      </w:r>
      <w:r w:rsidRPr="009F549F">
        <w:rPr>
          <w:rFonts w:eastAsia="Century Schoolbook"/>
          <w:i/>
        </w:rPr>
        <w:t>See</w:t>
      </w:r>
      <w:r w:rsidRPr="009F549F">
        <w:rPr>
          <w:rFonts w:eastAsia="Century Schoolbook"/>
        </w:rPr>
        <w:t xml:space="preserve"> </w:t>
      </w:r>
      <w:r w:rsidRPr="00474A8C">
        <w:rPr>
          <w:rFonts w:eastAsia="Century Schoolbook"/>
          <w:i/>
        </w:rPr>
        <w:t>id.</w:t>
      </w:r>
      <w:r w:rsidRPr="009F549F">
        <w:rPr>
          <w:rFonts w:eastAsia="Century Schoolbook"/>
        </w:rPr>
        <w:t xml:space="preserve"> at 446–48 (noting these arguments but suggesting they are overstated).</w:t>
      </w:r>
    </w:p>
  </w:footnote>
  <w:footnote w:id="298">
    <w:p w14:paraId="13F6EA35" w14:textId="77777777" w:rsidR="006E30B5" w:rsidRPr="009F549F" w:rsidRDefault="006E30B5">
      <w:pPr>
        <w:rPr>
          <w:rFonts w:eastAsia="Century Schoolbook"/>
        </w:rPr>
      </w:pPr>
      <w:r w:rsidRPr="009F549F">
        <w:rPr>
          <w:vertAlign w:val="superscript"/>
        </w:rPr>
        <w:footnoteRef/>
      </w:r>
      <w:r w:rsidRPr="009F549F">
        <w:rPr>
          <w:rFonts w:eastAsia="Century Schoolbook"/>
        </w:rPr>
        <w:t xml:space="preserve"> Paul L. Caron &amp; James R. </w:t>
      </w:r>
      <w:proofErr w:type="spellStart"/>
      <w:r w:rsidRPr="009F549F">
        <w:rPr>
          <w:rFonts w:eastAsia="Century Schoolbook"/>
        </w:rPr>
        <w:t>Repetti</w:t>
      </w:r>
      <w:proofErr w:type="spellEnd"/>
      <w:r w:rsidRPr="009F549F">
        <w:rPr>
          <w:rFonts w:eastAsia="Century Schoolbook"/>
        </w:rPr>
        <w:t xml:space="preserve">, </w:t>
      </w:r>
      <w:r w:rsidRPr="009F549F">
        <w:rPr>
          <w:rFonts w:eastAsia="Century Schoolbook"/>
          <w:i/>
        </w:rPr>
        <w:t>The Estate Tax Non-Gap: Why Repeal a “Voluntary” Tax?</w:t>
      </w:r>
      <w:r w:rsidRPr="009F549F">
        <w:rPr>
          <w:rFonts w:eastAsia="Century Schoolbook"/>
        </w:rPr>
        <w:t xml:space="preserve">, 20 </w:t>
      </w:r>
      <w:r w:rsidRPr="009F549F">
        <w:rPr>
          <w:rFonts w:eastAsia="Century Schoolbook"/>
          <w:smallCaps/>
        </w:rPr>
        <w:t xml:space="preserve">Stan. L. &amp; </w:t>
      </w:r>
      <w:proofErr w:type="spellStart"/>
      <w:r w:rsidRPr="009F549F">
        <w:rPr>
          <w:rFonts w:eastAsia="Century Schoolbook"/>
          <w:smallCaps/>
        </w:rPr>
        <w:t>Pol’y</w:t>
      </w:r>
      <w:proofErr w:type="spellEnd"/>
      <w:r w:rsidRPr="009F549F">
        <w:rPr>
          <w:rFonts w:eastAsia="Century Schoolbook"/>
          <w:smallCaps/>
        </w:rPr>
        <w:t xml:space="preserve"> Rev</w:t>
      </w:r>
      <w:r w:rsidRPr="009F549F">
        <w:rPr>
          <w:rFonts w:eastAsia="Century Schoolbook"/>
        </w:rPr>
        <w:t>. 153, 159–62 (2009) (surveying some common techniques).</w:t>
      </w:r>
    </w:p>
  </w:footnote>
  <w:footnote w:id="299">
    <w:p w14:paraId="02839D11" w14:textId="77777777" w:rsidR="006E30B5" w:rsidRPr="009F549F" w:rsidRDefault="006E30B5">
      <w:pPr>
        <w:rPr>
          <w:rFonts w:eastAsia="Century Schoolbook"/>
        </w:rPr>
      </w:pPr>
      <w:r w:rsidRPr="009F549F">
        <w:rPr>
          <w:vertAlign w:val="superscript"/>
        </w:rPr>
        <w:footnoteRef/>
      </w:r>
      <w:r w:rsidRPr="009F549F">
        <w:rPr>
          <w:rFonts w:eastAsia="Century Schoolbook"/>
        </w:rPr>
        <w:t xml:space="preserve"> Brant J. </w:t>
      </w:r>
      <w:proofErr w:type="spellStart"/>
      <w:r w:rsidRPr="009F549F">
        <w:rPr>
          <w:rFonts w:eastAsia="Century Schoolbook"/>
        </w:rPr>
        <w:t>Hellwig</w:t>
      </w:r>
      <w:proofErr w:type="spellEnd"/>
      <w:r w:rsidRPr="009F549F">
        <w:rPr>
          <w:rFonts w:eastAsia="Century Schoolbook"/>
        </w:rPr>
        <w:t xml:space="preserve">, </w:t>
      </w:r>
      <w:r w:rsidRPr="009F549F">
        <w:rPr>
          <w:rFonts w:eastAsia="Century Schoolbook"/>
          <w:i/>
        </w:rPr>
        <w:t>On Discounted Partnership Interests and Adequate Consideration</w:t>
      </w:r>
      <w:r w:rsidRPr="009F549F">
        <w:rPr>
          <w:rFonts w:eastAsia="Century Schoolbook"/>
        </w:rPr>
        <w:t xml:space="preserve">, 28 </w:t>
      </w:r>
      <w:r w:rsidRPr="009F549F">
        <w:rPr>
          <w:rFonts w:eastAsia="Century Schoolbook"/>
          <w:smallCaps/>
        </w:rPr>
        <w:t>Va. Tax Rev.</w:t>
      </w:r>
      <w:r w:rsidRPr="009F549F">
        <w:rPr>
          <w:rFonts w:eastAsia="Century Schoolbook"/>
        </w:rPr>
        <w:t xml:space="preserve"> 531, 533 (2009); Note, </w:t>
      </w:r>
      <w:r w:rsidRPr="009F549F">
        <w:rPr>
          <w:rFonts w:eastAsia="Century Schoolbook"/>
          <w:i/>
        </w:rPr>
        <w:t>Importing a Trade of Business Requirement to 2036: Toward a Regulatory Solution to FLP-Driven Transfer Tax Avoidance</w:t>
      </w:r>
      <w:r w:rsidRPr="009F549F">
        <w:rPr>
          <w:rFonts w:eastAsia="Century Schoolbook"/>
        </w:rPr>
        <w:t xml:space="preserve">, 126 </w:t>
      </w:r>
      <w:r w:rsidRPr="009F549F">
        <w:rPr>
          <w:rFonts w:eastAsia="Century Schoolbook"/>
          <w:smallCaps/>
        </w:rPr>
        <w:t>Harv. L. Rev.</w:t>
      </w:r>
      <w:r w:rsidRPr="009F549F">
        <w:rPr>
          <w:rFonts w:eastAsia="Century Schoolbook"/>
        </w:rPr>
        <w:t xml:space="preserve"> 1326, 1329 (2013).</w:t>
      </w:r>
    </w:p>
  </w:footnote>
  <w:footnote w:id="300">
    <w:p w14:paraId="0E2D564B" w14:textId="0F2F6544" w:rsidR="006E30B5" w:rsidRPr="009F549F" w:rsidRDefault="006E30B5">
      <w:pPr>
        <w:rPr>
          <w:rFonts w:eastAsia="Century Schoolbook"/>
        </w:rPr>
      </w:pPr>
      <w:r w:rsidRPr="009F549F">
        <w:rPr>
          <w:vertAlign w:val="superscript"/>
        </w:rPr>
        <w:footnoteRef/>
      </w:r>
      <w:r w:rsidRPr="009F549F">
        <w:rPr>
          <w:rFonts w:eastAsia="Century Schoolbook"/>
        </w:rPr>
        <w:t xml:space="preserve"> The reasons </w:t>
      </w:r>
      <w:r>
        <w:rPr>
          <w:rFonts w:eastAsia="Century Schoolbook"/>
        </w:rPr>
        <w:t>for that  name</w:t>
      </w:r>
      <w:r w:rsidRPr="009F549F">
        <w:rPr>
          <w:rFonts w:eastAsia="Century Schoolbook"/>
        </w:rPr>
        <w:t xml:space="preserve"> are deeper in the weeds than we need to wade here. For details, see Soled &amp; </w:t>
      </w:r>
      <w:proofErr w:type="spellStart"/>
      <w:r w:rsidRPr="009F549F">
        <w:rPr>
          <w:rFonts w:eastAsia="Century Schoolbook"/>
        </w:rPr>
        <w:t>Gans</w:t>
      </w:r>
      <w:proofErr w:type="spellEnd"/>
      <w:r w:rsidRPr="009F549F">
        <w:rPr>
          <w:rFonts w:eastAsia="Century Schoolbook"/>
        </w:rPr>
        <w:t xml:space="preserve">, </w:t>
      </w:r>
      <w:r w:rsidRPr="009F549F">
        <w:rPr>
          <w:rFonts w:eastAsia="Century Schoolbook"/>
          <w:i/>
        </w:rPr>
        <w:t>supra</w:t>
      </w:r>
      <w:r w:rsidRPr="009F549F">
        <w:rPr>
          <w:rFonts w:eastAsia="Century Schoolbook"/>
        </w:rPr>
        <w:t xml:space="preserve"> note </w:t>
      </w:r>
      <w:r w:rsidRPr="00036097">
        <w:rPr>
          <w:rFonts w:eastAsia="Century Schoolbook"/>
        </w:rPr>
        <w:fldChar w:fldCharType="begin"/>
      </w:r>
      <w:r w:rsidRPr="00036097">
        <w:rPr>
          <w:rFonts w:eastAsia="Century Schoolbook"/>
        </w:rPr>
        <w:instrText xml:space="preserve"> NOTEREF _Ref115691217 \h  \* MERGEFORMAT </w:instrText>
      </w:r>
      <w:r w:rsidRPr="00036097">
        <w:rPr>
          <w:rFonts w:eastAsia="Century Schoolbook"/>
        </w:rPr>
      </w:r>
      <w:r w:rsidRPr="00036097">
        <w:rPr>
          <w:rFonts w:eastAsia="Century Schoolbook"/>
        </w:rPr>
        <w:fldChar w:fldCharType="separate"/>
      </w:r>
      <w:r>
        <w:rPr>
          <w:rFonts w:eastAsia="Century Schoolbook"/>
        </w:rPr>
        <w:t>284</w:t>
      </w:r>
      <w:r w:rsidRPr="00036097">
        <w:rPr>
          <w:rFonts w:eastAsia="Century Schoolbook"/>
        </w:rPr>
        <w:fldChar w:fldCharType="end"/>
      </w:r>
      <w:r w:rsidRPr="00036097">
        <w:rPr>
          <w:rFonts w:eastAsia="Century Schoolbook"/>
        </w:rPr>
        <w:t>,</w:t>
      </w:r>
      <w:r w:rsidRPr="009F549F">
        <w:rPr>
          <w:rFonts w:eastAsia="Century Schoolbook"/>
        </w:rPr>
        <w:t xml:space="preserve"> at 976–81.</w:t>
      </w:r>
    </w:p>
  </w:footnote>
  <w:footnote w:id="301">
    <w:p w14:paraId="7C5428CD" w14:textId="77777777" w:rsidR="006E30B5" w:rsidRPr="009F549F" w:rsidRDefault="006E30B5">
      <w:pPr>
        <w:rPr>
          <w:rFonts w:eastAsia="Century Schoolbook"/>
        </w:rPr>
      </w:pPr>
      <w:r w:rsidRPr="009F549F">
        <w:rPr>
          <w:vertAlign w:val="superscript"/>
        </w:rPr>
        <w:footnoteRef/>
      </w:r>
      <w:r w:rsidRPr="009F549F">
        <w:rPr>
          <w:rFonts w:eastAsia="Century Schoolbook"/>
        </w:rPr>
        <w:t xml:space="preserve"> </w:t>
      </w:r>
      <w:r w:rsidRPr="009F549F">
        <w:rPr>
          <w:rFonts w:eastAsia="Century Schoolbook"/>
          <w:i/>
        </w:rPr>
        <w:t xml:space="preserve">Id. </w:t>
      </w:r>
      <w:r w:rsidRPr="009F549F">
        <w:rPr>
          <w:rFonts w:eastAsia="Century Schoolbook"/>
        </w:rPr>
        <w:t>at 977. The transaction can be structured as either a sale or a gift with a retained interest; the latter is typically called a “zeroed-out GRAT.”</w:t>
      </w:r>
      <w:r w:rsidRPr="009F549F">
        <w:rPr>
          <w:rFonts w:eastAsia="Century Schoolbook"/>
          <w:i/>
        </w:rPr>
        <w:t xml:space="preserve"> Id.</w:t>
      </w:r>
      <w:r w:rsidRPr="009F549F">
        <w:rPr>
          <w:rFonts w:eastAsia="Century Schoolbook"/>
        </w:rPr>
        <w:t xml:space="preserve"> at 983–84.</w:t>
      </w:r>
    </w:p>
  </w:footnote>
  <w:footnote w:id="302">
    <w:p w14:paraId="43AE4219" w14:textId="1832C1C8" w:rsidR="006E30B5" w:rsidRPr="009F549F" w:rsidRDefault="006E30B5">
      <w:pPr>
        <w:rPr>
          <w:rFonts w:eastAsia="Century Schoolbook"/>
        </w:rPr>
      </w:pPr>
      <w:r w:rsidRPr="009F549F">
        <w:rPr>
          <w:vertAlign w:val="superscript"/>
        </w:rPr>
        <w:footnoteRef/>
      </w:r>
      <w:r w:rsidRPr="009F549F">
        <w:rPr>
          <w:rFonts w:eastAsia="Century Schoolbook"/>
        </w:rPr>
        <w:t xml:space="preserve"> </w:t>
      </w:r>
      <w:r w:rsidRPr="009F549F">
        <w:rPr>
          <w:rFonts w:eastAsia="Century Schoolbook"/>
          <w:i/>
        </w:rPr>
        <w:t>Id.</w:t>
      </w:r>
      <w:r w:rsidRPr="009F549F">
        <w:rPr>
          <w:rFonts w:eastAsia="Century Schoolbook"/>
        </w:rPr>
        <w:t xml:space="preserve"> at 984.</w:t>
      </w:r>
      <w:r w:rsidRPr="00036097">
        <w:rPr>
          <w:rFonts w:eastAsia="Century Schoolbook"/>
        </w:rPr>
        <w:t xml:space="preserve"> </w:t>
      </w:r>
    </w:p>
  </w:footnote>
  <w:footnote w:id="303">
    <w:p w14:paraId="0F2A9C37" w14:textId="1B9F676C" w:rsidR="006E30B5" w:rsidRPr="009F549F" w:rsidRDefault="006E30B5">
      <w:pPr>
        <w:rPr>
          <w:rFonts w:eastAsia="Century Schoolbook"/>
        </w:rPr>
      </w:pPr>
      <w:r w:rsidRPr="009F549F">
        <w:rPr>
          <w:vertAlign w:val="superscript"/>
        </w:rPr>
        <w:footnoteRef/>
      </w:r>
      <w:r w:rsidRPr="00036097">
        <w:rPr>
          <w:rFonts w:eastAsia="Century Schoolbook"/>
        </w:rPr>
        <w:t xml:space="preserve"> </w:t>
      </w:r>
      <w:r>
        <w:rPr>
          <w:rFonts w:eastAsia="Century Schoolbook"/>
          <w:i/>
          <w:iCs/>
        </w:rPr>
        <w:t>See</w:t>
      </w:r>
      <w:r w:rsidRPr="009F549F">
        <w:rPr>
          <w:rFonts w:eastAsia="Century Schoolbook"/>
          <w:i/>
        </w:rPr>
        <w:t xml:space="preserve"> </w:t>
      </w:r>
      <w:proofErr w:type="spellStart"/>
      <w:r w:rsidRPr="009F549F">
        <w:rPr>
          <w:rFonts w:eastAsia="Century Schoolbook"/>
        </w:rPr>
        <w:t>Gans</w:t>
      </w:r>
      <w:proofErr w:type="spellEnd"/>
      <w:r w:rsidRPr="009F549F">
        <w:rPr>
          <w:rFonts w:eastAsia="Century Schoolbook"/>
        </w:rPr>
        <w:t xml:space="preserve"> &amp; Soled,</w:t>
      </w:r>
      <w:r w:rsidRPr="009F549F">
        <w:rPr>
          <w:rFonts w:eastAsia="Century Schoolbook"/>
          <w:i/>
        </w:rPr>
        <w:t xml:space="preserve"> supra</w:t>
      </w:r>
      <w:r w:rsidRPr="009F549F">
        <w:rPr>
          <w:rFonts w:eastAsia="Century Schoolbook"/>
        </w:rPr>
        <w:t xml:space="preserve"> note </w:t>
      </w:r>
      <w:r w:rsidRPr="00EF088C">
        <w:rPr>
          <w:rFonts w:eastAsia="Century Schoolbook"/>
        </w:rPr>
        <w:fldChar w:fldCharType="begin"/>
      </w:r>
      <w:r w:rsidRPr="00B27DB1">
        <w:rPr>
          <w:rFonts w:eastAsia="Century Schoolbook"/>
        </w:rPr>
        <w:instrText xml:space="preserve"> NOTEREF _Ref115691193 \h  \* MERGEFORMAT </w:instrText>
      </w:r>
      <w:r w:rsidRPr="00EF088C">
        <w:rPr>
          <w:rFonts w:eastAsia="Century Schoolbook"/>
        </w:rPr>
      </w:r>
      <w:r w:rsidRPr="00EF088C">
        <w:rPr>
          <w:rFonts w:eastAsia="Century Schoolbook"/>
        </w:rPr>
        <w:fldChar w:fldCharType="separate"/>
      </w:r>
      <w:r>
        <w:rPr>
          <w:rFonts w:eastAsia="Century Schoolbook"/>
        </w:rPr>
        <w:t>282</w:t>
      </w:r>
      <w:r w:rsidRPr="00EF088C">
        <w:rPr>
          <w:rFonts w:eastAsia="Century Schoolbook"/>
        </w:rPr>
        <w:fldChar w:fldCharType="end"/>
      </w:r>
      <w:r w:rsidRPr="00F75332">
        <w:rPr>
          <w:rFonts w:eastAsia="Century Schoolbook"/>
        </w:rPr>
        <w:t>,</w:t>
      </w:r>
      <w:r w:rsidRPr="009F549F">
        <w:rPr>
          <w:rFonts w:eastAsia="Century Schoolbook"/>
        </w:rPr>
        <w:t xml:space="preserve"> at 772.</w:t>
      </w:r>
      <w:r w:rsidRPr="00036097">
        <w:rPr>
          <w:rFonts w:eastAsia="Century Schoolbook"/>
        </w:rPr>
        <w:t xml:space="preserve"> </w:t>
      </w:r>
    </w:p>
  </w:footnote>
  <w:footnote w:id="304">
    <w:p w14:paraId="70B7A95E" w14:textId="51F043C1" w:rsidR="006E30B5" w:rsidRPr="009F549F" w:rsidRDefault="006E30B5">
      <w:pPr>
        <w:rPr>
          <w:rFonts w:eastAsia="Century Schoolbook"/>
        </w:rPr>
      </w:pPr>
      <w:r w:rsidRPr="009F549F">
        <w:rPr>
          <w:vertAlign w:val="superscript"/>
        </w:rPr>
        <w:footnoteRef/>
      </w:r>
      <w:r w:rsidRPr="009F549F">
        <w:rPr>
          <w:rFonts w:eastAsia="Century Schoolbook"/>
        </w:rPr>
        <w:t xml:space="preserve"> </w:t>
      </w:r>
      <w:r>
        <w:rPr>
          <w:rFonts w:eastAsia="Century Schoolbook"/>
        </w:rPr>
        <w:t>However, t</w:t>
      </w:r>
      <w:r w:rsidRPr="009F549F">
        <w:rPr>
          <w:rFonts w:eastAsia="Century Schoolbook"/>
        </w:rPr>
        <w:t>he GRAT transaction would still serve as a freeze to lock in the value of the asset at the price paid when the ULTRA is resolved. Our gift-tax ULTRA proposal</w:t>
      </w:r>
      <w:r>
        <w:rPr>
          <w:rFonts w:eastAsia="Century Schoolbook"/>
        </w:rPr>
        <w:t xml:space="preserve"> </w:t>
      </w:r>
      <w:r w:rsidRPr="009F549F">
        <w:rPr>
          <w:rFonts w:eastAsia="Century Schoolbook"/>
        </w:rPr>
        <w:t>could eliminate this advantage in many cases</w:t>
      </w:r>
      <w:r>
        <w:rPr>
          <w:rFonts w:ascii="Century Schoolbook" w:eastAsia="Century Schoolbook" w:hAnsi="Century Schoolbook" w:cs="Century Schoolbook"/>
          <w:sz w:val="20"/>
          <w:szCs w:val="20"/>
        </w:rPr>
        <w:t xml:space="preserve">. </w:t>
      </w:r>
    </w:p>
  </w:footnote>
  <w:footnote w:id="305">
    <w:p w14:paraId="50E96E9D" w14:textId="534BF88D" w:rsidR="006E30B5" w:rsidRPr="009F549F" w:rsidRDefault="006E30B5">
      <w:pPr>
        <w:rPr>
          <w:rFonts w:eastAsia="Century Schoolbook"/>
        </w:rPr>
      </w:pPr>
      <w:r w:rsidRPr="009F549F">
        <w:rPr>
          <w:vertAlign w:val="superscript"/>
        </w:rPr>
        <w:footnoteRef/>
      </w:r>
      <w:r w:rsidRPr="00036097">
        <w:rPr>
          <w:rFonts w:eastAsia="Century Schoolbook"/>
        </w:rPr>
        <w:t xml:space="preserve"> </w:t>
      </w:r>
      <w:r w:rsidRPr="00036097">
        <w:rPr>
          <w:rFonts w:eastAsia="Century Schoolbook"/>
          <w:i/>
          <w:iCs/>
        </w:rPr>
        <w:t>See</w:t>
      </w:r>
      <w:r w:rsidRPr="009F549F">
        <w:rPr>
          <w:rFonts w:eastAsia="Century Schoolbook"/>
          <w:i/>
        </w:rPr>
        <w:t xml:space="preserve"> </w:t>
      </w:r>
      <w:r w:rsidRPr="009F549F">
        <w:rPr>
          <w:rFonts w:eastAsia="Century Schoolbook"/>
          <w:smallCaps/>
        </w:rPr>
        <w:t>David Baer</w:t>
      </w:r>
      <w:r w:rsidRPr="009F549F">
        <w:rPr>
          <w:rFonts w:eastAsia="Century Schoolbook"/>
        </w:rPr>
        <w:t xml:space="preserve">, </w:t>
      </w:r>
      <w:r w:rsidRPr="007D6E99">
        <w:rPr>
          <w:rFonts w:ascii="Century Schoolbook" w:eastAsia="Century Schoolbook" w:hAnsi="Century Schoolbook" w:cs="Century Schoolbook"/>
          <w:sz w:val="20"/>
          <w:szCs w:val="20"/>
        </w:rPr>
        <w:t xml:space="preserve">AARP, </w:t>
      </w:r>
      <w:r w:rsidRPr="009F549F">
        <w:rPr>
          <w:rFonts w:eastAsia="Century Schoolbook"/>
          <w:smallCaps/>
        </w:rPr>
        <w:t>Awareness and Popularity of Property Tax Relief Programs</w:t>
      </w:r>
      <w:r w:rsidRPr="009F549F">
        <w:rPr>
          <w:rFonts w:eastAsia="Century Schoolbook"/>
        </w:rPr>
        <w:t xml:space="preserve"> </w:t>
      </w:r>
      <w:r w:rsidRPr="00036097">
        <w:rPr>
          <w:rFonts w:eastAsia="Century Schoolbook"/>
        </w:rPr>
        <w:t>2</w:t>
      </w:r>
      <w:r w:rsidRPr="009F549F">
        <w:rPr>
          <w:rFonts w:eastAsia="Century Schoolbook"/>
        </w:rPr>
        <w:t xml:space="preserve"> (1998), </w:t>
      </w:r>
      <w:r w:rsidRPr="00036097">
        <w:rPr>
          <w:rFonts w:eastAsia="Century Schoolbook"/>
        </w:rPr>
        <w:t>http://assets.aarp.org/rgcenter/econ/9803_tax.pdf [https://perma.cc/68E3-TAPS] (describing various state government benefits intended to lessen property tax burdens);</w:t>
      </w:r>
      <w:r w:rsidRPr="009F549F">
        <w:rPr>
          <w:rFonts w:eastAsia="Century Schoolbook"/>
        </w:rPr>
        <w:t xml:space="preserve"> </w:t>
      </w:r>
      <w:r w:rsidRPr="009F549F">
        <w:rPr>
          <w:rFonts w:eastAsia="Century Schoolbook"/>
          <w:i/>
        </w:rPr>
        <w:t>see also</w:t>
      </w:r>
      <w:r w:rsidRPr="009F549F">
        <w:rPr>
          <w:rFonts w:eastAsia="Century Schoolbook"/>
        </w:rPr>
        <w:t xml:space="preserve"> Darien Shanske, </w:t>
      </w:r>
      <w:r w:rsidRPr="009F549F">
        <w:rPr>
          <w:rFonts w:eastAsia="Century Schoolbook"/>
          <w:i/>
        </w:rPr>
        <w:t>Revitalizing Local Political Economy Through Modernizing the Property Tax</w:t>
      </w:r>
      <w:r w:rsidRPr="009F549F">
        <w:rPr>
          <w:rFonts w:eastAsia="Century Schoolbook"/>
        </w:rPr>
        <w:t xml:space="preserve">, 68 </w:t>
      </w:r>
      <w:r w:rsidRPr="009F549F">
        <w:rPr>
          <w:rFonts w:eastAsia="Century Schoolbook"/>
          <w:smallCaps/>
        </w:rPr>
        <w:t>Tax. L. Rev.</w:t>
      </w:r>
      <w:r w:rsidRPr="009F549F">
        <w:rPr>
          <w:rFonts w:eastAsia="Century Schoolbook"/>
        </w:rPr>
        <w:t xml:space="preserve"> 143</w:t>
      </w:r>
      <w:r w:rsidRPr="00036097">
        <w:rPr>
          <w:rFonts w:eastAsia="Century Schoolbook"/>
        </w:rPr>
        <w:t>, 145</w:t>
      </w:r>
      <w:r w:rsidRPr="009F549F">
        <w:rPr>
          <w:rFonts w:eastAsia="Century Schoolbook"/>
        </w:rPr>
        <w:t xml:space="preserve"> (2014) (</w:t>
      </w:r>
      <w:r w:rsidRPr="00036097">
        <w:rPr>
          <w:rFonts w:eastAsia="Century Schoolbook"/>
        </w:rPr>
        <w:t>suggesting that property tax should be collected via withholding</w:t>
      </w:r>
      <w:r w:rsidRPr="009F549F">
        <w:rPr>
          <w:rFonts w:eastAsia="Century Schoolbook"/>
        </w:rPr>
        <w:t>).</w:t>
      </w:r>
    </w:p>
  </w:footnote>
  <w:footnote w:id="306">
    <w:p w14:paraId="2645536E" w14:textId="24182648" w:rsidR="006E30B5" w:rsidRPr="009F549F" w:rsidRDefault="006E30B5">
      <w:pPr>
        <w:rPr>
          <w:rFonts w:eastAsia="Century Schoolbook"/>
        </w:rPr>
      </w:pPr>
      <w:r w:rsidRPr="009F549F">
        <w:rPr>
          <w:vertAlign w:val="superscript"/>
        </w:rPr>
        <w:footnoteRef/>
      </w:r>
      <w:r w:rsidRPr="009F549F">
        <w:rPr>
          <w:rFonts w:eastAsia="Century Schoolbook"/>
        </w:rPr>
        <w:t xml:space="preserve"> </w:t>
      </w:r>
      <w:r w:rsidRPr="009F549F">
        <w:rPr>
          <w:rFonts w:eastAsia="Century Schoolbook"/>
          <w:i/>
        </w:rPr>
        <w:t>See, e.g</w:t>
      </w:r>
      <w:r w:rsidRPr="009F549F">
        <w:rPr>
          <w:rFonts w:eastAsia="Century Schoolbook"/>
        </w:rPr>
        <w:t xml:space="preserve">., William M. </w:t>
      </w:r>
      <w:proofErr w:type="spellStart"/>
      <w:r w:rsidRPr="009F549F">
        <w:rPr>
          <w:rFonts w:eastAsia="Century Schoolbook"/>
        </w:rPr>
        <w:t>Doerner</w:t>
      </w:r>
      <w:proofErr w:type="spellEnd"/>
      <w:r w:rsidRPr="009F549F">
        <w:rPr>
          <w:rFonts w:eastAsia="Century Schoolbook"/>
        </w:rPr>
        <w:t xml:space="preserve"> &amp; Keith R. </w:t>
      </w:r>
      <w:proofErr w:type="spellStart"/>
      <w:r w:rsidRPr="009F549F">
        <w:rPr>
          <w:rFonts w:eastAsia="Century Schoolbook"/>
        </w:rPr>
        <w:t>Ihlanfeldt</w:t>
      </w:r>
      <w:proofErr w:type="spellEnd"/>
      <w:r w:rsidRPr="009F549F">
        <w:rPr>
          <w:rFonts w:eastAsia="Century Schoolbook"/>
          <w:i/>
        </w:rPr>
        <w:t>, An Empirical Analysis of the Property Tax Appeals Process</w:t>
      </w:r>
      <w:r w:rsidRPr="009F549F">
        <w:rPr>
          <w:rFonts w:eastAsia="Century Schoolbook"/>
        </w:rPr>
        <w:t xml:space="preserve">, 11 J. </w:t>
      </w:r>
      <w:r w:rsidRPr="009F549F">
        <w:rPr>
          <w:rFonts w:eastAsia="Century Schoolbook"/>
          <w:smallCaps/>
        </w:rPr>
        <w:t>Prop. Tax Assessment &amp; Admin</w:t>
      </w:r>
      <w:r w:rsidRPr="009F549F">
        <w:rPr>
          <w:rFonts w:eastAsia="Century Schoolbook"/>
        </w:rPr>
        <w:t>. 5</w:t>
      </w:r>
      <w:r w:rsidRPr="00036097">
        <w:rPr>
          <w:rFonts w:eastAsia="Century Schoolbook"/>
        </w:rPr>
        <w:t>, 12</w:t>
      </w:r>
      <w:r w:rsidRPr="009F549F">
        <w:rPr>
          <w:rFonts w:eastAsia="Century Schoolbook"/>
        </w:rPr>
        <w:t xml:space="preserve"> (2014).</w:t>
      </w:r>
    </w:p>
  </w:footnote>
  <w:footnote w:id="307">
    <w:p w14:paraId="4C9E66FF" w14:textId="35B178C6" w:rsidR="006E30B5" w:rsidRPr="009F549F" w:rsidRDefault="006E30B5">
      <w:pPr>
        <w:rPr>
          <w:rFonts w:eastAsia="Century Schoolbook"/>
        </w:rPr>
      </w:pPr>
      <w:r w:rsidRPr="009F549F">
        <w:rPr>
          <w:vertAlign w:val="superscript"/>
        </w:rPr>
        <w:footnoteRef/>
      </w:r>
      <w:r>
        <w:rPr>
          <w:rFonts w:eastAsia="Century Schoolbook"/>
        </w:rPr>
        <w:t xml:space="preserve"> Carlos F. </w:t>
      </w:r>
      <w:proofErr w:type="spellStart"/>
      <w:r>
        <w:rPr>
          <w:rFonts w:eastAsia="Century Schoolbook"/>
        </w:rPr>
        <w:t>Avenancio</w:t>
      </w:r>
      <w:proofErr w:type="spellEnd"/>
      <w:r>
        <w:rPr>
          <w:rFonts w:eastAsia="Century Schoolbook"/>
        </w:rPr>
        <w:t xml:space="preserve">-Leon &amp; Troup Howard, </w:t>
      </w:r>
      <w:r w:rsidRPr="009F549F">
        <w:rPr>
          <w:rFonts w:eastAsia="Century Schoolbook"/>
          <w:i/>
        </w:rPr>
        <w:t>The Assessment Gap: Racial Inequalities in Property Taxation</w:t>
      </w:r>
      <w:r>
        <w:rPr>
          <w:rFonts w:eastAsia="Century Schoolbook"/>
        </w:rPr>
        <w:t xml:space="preserve">, 137 Q.J. </w:t>
      </w:r>
      <w:r w:rsidRPr="009F549F">
        <w:rPr>
          <w:rFonts w:eastAsia="Century Schoolbook"/>
          <w:smallCaps/>
        </w:rPr>
        <w:t>Econ</w:t>
      </w:r>
      <w:r>
        <w:rPr>
          <w:rFonts w:eastAsia="Century Schoolbook"/>
        </w:rPr>
        <w:t>. 1383, 1398–1412 (2022);</w:t>
      </w:r>
      <w:r w:rsidRPr="009F549F">
        <w:rPr>
          <w:rFonts w:eastAsia="Century Schoolbook"/>
        </w:rPr>
        <w:t xml:space="preserve"> </w:t>
      </w:r>
      <w:proofErr w:type="spellStart"/>
      <w:r w:rsidRPr="007D6E99">
        <w:rPr>
          <w:rFonts w:ascii="Century Schoolbook" w:eastAsia="Century Schoolbook" w:hAnsi="Century Schoolbook" w:cs="Century Schoolbook"/>
          <w:sz w:val="20"/>
          <w:szCs w:val="20"/>
        </w:rPr>
        <w:t>Doerner</w:t>
      </w:r>
      <w:proofErr w:type="spellEnd"/>
      <w:r w:rsidRPr="007D6E99">
        <w:rPr>
          <w:rFonts w:ascii="Century Schoolbook" w:eastAsia="Century Schoolbook" w:hAnsi="Century Schoolbook" w:cs="Century Schoolbook"/>
          <w:sz w:val="20"/>
          <w:szCs w:val="20"/>
        </w:rPr>
        <w:t xml:space="preserve"> and </w:t>
      </w:r>
      <w:proofErr w:type="spellStart"/>
      <w:r w:rsidRPr="007D6E99">
        <w:rPr>
          <w:rFonts w:ascii="Century Schoolbook" w:eastAsia="Century Schoolbook" w:hAnsi="Century Schoolbook" w:cs="Century Schoolbook"/>
          <w:sz w:val="20"/>
          <w:szCs w:val="20"/>
        </w:rPr>
        <w:t>Ihlanfeldt</w:t>
      </w:r>
      <w:proofErr w:type="spellEnd"/>
      <w:r w:rsidRPr="007D6E99">
        <w:rPr>
          <w:rFonts w:ascii="Century Schoolbook" w:eastAsia="Century Schoolbook" w:hAnsi="Century Schoolbook" w:cs="Century Schoolbook"/>
          <w:sz w:val="20"/>
          <w:szCs w:val="20"/>
        </w:rPr>
        <w:t xml:space="preserve">, </w:t>
      </w:r>
      <w:r w:rsidRPr="007D6E99">
        <w:rPr>
          <w:rFonts w:ascii="Century Schoolbook" w:eastAsia="Century Schoolbook" w:hAnsi="Century Schoolbook" w:cs="Century Schoolbook"/>
          <w:i/>
          <w:sz w:val="20"/>
          <w:szCs w:val="20"/>
        </w:rPr>
        <w:t>supra</w:t>
      </w:r>
      <w:r w:rsidRPr="007D6E99">
        <w:rPr>
          <w:rFonts w:ascii="Century Schoolbook" w:eastAsia="Century Schoolbook" w:hAnsi="Century Schoolbook" w:cs="Century Schoolbook"/>
          <w:sz w:val="20"/>
          <w:szCs w:val="20"/>
        </w:rPr>
        <w:t xml:space="preserve"> note 250,</w:t>
      </w:r>
      <w:r w:rsidRPr="00166FE3">
        <w:rPr>
          <w:rFonts w:ascii="Century Schoolbook" w:eastAsia="Century Schoolbook" w:hAnsi="Century Schoolbook"/>
          <w:sz w:val="20"/>
        </w:rPr>
        <w:t xml:space="preserve"> </w:t>
      </w:r>
      <w:r w:rsidRPr="009F549F">
        <w:rPr>
          <w:rFonts w:eastAsia="Century Schoolbook"/>
        </w:rPr>
        <w:t xml:space="preserve">at 13; Andrew </w:t>
      </w:r>
      <w:r w:rsidRPr="00036097">
        <w:rPr>
          <w:rFonts w:eastAsia="Century Schoolbook"/>
        </w:rPr>
        <w:t xml:space="preserve">T. </w:t>
      </w:r>
      <w:r w:rsidRPr="009F549F">
        <w:rPr>
          <w:rFonts w:eastAsia="Century Schoolbook"/>
        </w:rPr>
        <w:t xml:space="preserve">Hayashi, </w:t>
      </w:r>
      <w:r w:rsidRPr="009F549F">
        <w:rPr>
          <w:rFonts w:eastAsia="Century Schoolbook"/>
          <w:i/>
        </w:rPr>
        <w:t>The Legal Salience of Taxation</w:t>
      </w:r>
      <w:r w:rsidRPr="009F549F">
        <w:rPr>
          <w:rFonts w:eastAsia="Century Schoolbook"/>
        </w:rPr>
        <w:t xml:space="preserve">, 81 U. </w:t>
      </w:r>
      <w:r w:rsidRPr="009F549F">
        <w:rPr>
          <w:rFonts w:eastAsia="Century Schoolbook"/>
          <w:smallCaps/>
        </w:rPr>
        <w:t>Chi. L. Rev</w:t>
      </w:r>
      <w:r w:rsidRPr="009F549F">
        <w:rPr>
          <w:rFonts w:eastAsia="Century Schoolbook"/>
        </w:rPr>
        <w:t xml:space="preserve">. 1443, 1498 (2014); </w:t>
      </w:r>
      <w:r>
        <w:rPr>
          <w:rFonts w:eastAsia="Century Schoolbook"/>
          <w:i/>
          <w:iCs/>
        </w:rPr>
        <w:t xml:space="preserve">see also </w:t>
      </w:r>
      <w:r w:rsidRPr="009F549F">
        <w:rPr>
          <w:rFonts w:eastAsia="Century Schoolbook"/>
        </w:rPr>
        <w:t xml:space="preserve">Bernadette </w:t>
      </w:r>
      <w:proofErr w:type="spellStart"/>
      <w:r w:rsidRPr="009F549F">
        <w:rPr>
          <w:rFonts w:eastAsia="Century Schoolbook"/>
        </w:rPr>
        <w:t>Atuahene</w:t>
      </w:r>
      <w:proofErr w:type="spellEnd"/>
      <w:r w:rsidRPr="009F549F">
        <w:rPr>
          <w:rFonts w:eastAsia="Century Schoolbook"/>
        </w:rPr>
        <w:t xml:space="preserve">, </w:t>
      </w:r>
      <w:r w:rsidRPr="009F549F">
        <w:rPr>
          <w:rFonts w:eastAsia="Century Schoolbook"/>
          <w:i/>
        </w:rPr>
        <w:t>Our Taxes Are Too Damn High: Institutional Racism, Property Tax Assessments, and the Fair Housing Act</w:t>
      </w:r>
      <w:r w:rsidRPr="009F549F">
        <w:rPr>
          <w:rFonts w:eastAsia="Century Schoolbook"/>
        </w:rPr>
        <w:t xml:space="preserve">, 112 </w:t>
      </w:r>
      <w:r w:rsidRPr="009F549F">
        <w:rPr>
          <w:rFonts w:eastAsia="Century Schoolbook"/>
          <w:smallCaps/>
        </w:rPr>
        <w:t>Nw</w:t>
      </w:r>
      <w:r w:rsidRPr="009F549F">
        <w:rPr>
          <w:rFonts w:eastAsia="Century Schoolbook"/>
        </w:rPr>
        <w:t xml:space="preserve">. U. L. </w:t>
      </w:r>
      <w:r w:rsidRPr="009F549F">
        <w:rPr>
          <w:rFonts w:eastAsia="Century Schoolbook"/>
          <w:smallCaps/>
        </w:rPr>
        <w:t>Rev</w:t>
      </w:r>
      <w:r w:rsidRPr="009F549F">
        <w:rPr>
          <w:rFonts w:eastAsia="Century Schoolbook"/>
        </w:rPr>
        <w:t>. 1501, 1547</w:t>
      </w:r>
      <w:r w:rsidRPr="007D6E99">
        <w:rPr>
          <w:rFonts w:ascii="Century Schoolbook" w:eastAsia="Century Schoolbook" w:hAnsi="Century Schoolbook" w:cs="Century Schoolbook"/>
          <w:sz w:val="20"/>
          <w:szCs w:val="20"/>
        </w:rPr>
        <w:t>–53</w:t>
      </w:r>
      <w:r w:rsidRPr="009F549F">
        <w:rPr>
          <w:rFonts w:eastAsia="Century Schoolbook"/>
        </w:rPr>
        <w:t xml:space="preserve"> (2017)</w:t>
      </w:r>
      <w:r>
        <w:rPr>
          <w:rFonts w:eastAsia="Century Schoolbook"/>
        </w:rPr>
        <w:t>; Brad C. Nathan, Ricardo Perez-</w:t>
      </w:r>
      <w:proofErr w:type="spellStart"/>
      <w:r>
        <w:rPr>
          <w:rFonts w:eastAsia="Century Schoolbook"/>
        </w:rPr>
        <w:t>Truglia</w:t>
      </w:r>
      <w:proofErr w:type="spellEnd"/>
      <w:r>
        <w:rPr>
          <w:rFonts w:eastAsia="Century Schoolbook"/>
        </w:rPr>
        <w:t xml:space="preserve">, &amp; Alejandro </w:t>
      </w:r>
      <w:proofErr w:type="spellStart"/>
      <w:r>
        <w:rPr>
          <w:rFonts w:eastAsia="Century Schoolbook"/>
        </w:rPr>
        <w:t>Zentner</w:t>
      </w:r>
      <w:proofErr w:type="spellEnd"/>
      <w:r>
        <w:rPr>
          <w:rFonts w:eastAsia="Century Schoolbook"/>
        </w:rPr>
        <w:t xml:space="preserve">, My Taxes Are Too Darn High: Why Do Households Protest Their Tax?, NBER Working Paper No. </w:t>
      </w:r>
      <w:r>
        <w:rPr>
          <w:rFonts w:eastAsia="Century Schoolbook"/>
        </w:rPr>
        <w:t xml:space="preserve">27816, at 23-24 (May 2022), </w:t>
      </w:r>
      <w:hyperlink r:id="rId3" w:history="1">
        <w:r w:rsidRPr="00977B6E">
          <w:rPr>
            <w:rStyle w:val="Hyperlink"/>
            <w:rFonts w:eastAsia="Century Schoolbook"/>
          </w:rPr>
          <w:t>https://www.nber.org/system/files/working_papers/w27816/w27816.pdf</w:t>
        </w:r>
      </w:hyperlink>
      <w:r>
        <w:rPr>
          <w:rFonts w:eastAsia="Century Schoolbook"/>
        </w:rPr>
        <w:t xml:space="preserve"> (summarizing evidence suggesting that complexity of appeal system causes some households to overpay)</w:t>
      </w:r>
      <w:r w:rsidRPr="009F549F">
        <w:rPr>
          <w:rFonts w:eastAsia="Century Schoolbook"/>
        </w:rPr>
        <w:t>.</w:t>
      </w:r>
      <w:r w:rsidRPr="00036097">
        <w:rPr>
          <w:rFonts w:eastAsia="Century Schoolbook"/>
        </w:rPr>
        <w:t xml:space="preserve"> </w:t>
      </w:r>
    </w:p>
  </w:footnote>
  <w:footnote w:id="308">
    <w:p w14:paraId="73E21BC7" w14:textId="05AC46E5" w:rsidR="006E30B5" w:rsidRPr="009F549F" w:rsidRDefault="006E30B5">
      <w:pPr>
        <w:rPr>
          <w:rFonts w:eastAsia="Century Schoolbook"/>
        </w:rPr>
      </w:pPr>
      <w:r w:rsidRPr="009F549F">
        <w:rPr>
          <w:vertAlign w:val="superscript"/>
        </w:rPr>
        <w:footnoteRef/>
      </w:r>
      <w:r w:rsidRPr="009F549F">
        <w:rPr>
          <w:rFonts w:eastAsia="Century Schoolbook"/>
        </w:rPr>
        <w:t xml:space="preserve"> </w:t>
      </w:r>
      <w:r w:rsidRPr="009F549F">
        <w:rPr>
          <w:rFonts w:eastAsia="Century Schoolbook"/>
          <w:i/>
        </w:rPr>
        <w:t>See</w:t>
      </w:r>
      <w:r w:rsidRPr="009F549F">
        <w:rPr>
          <w:rFonts w:eastAsia="Century Schoolbook"/>
        </w:rPr>
        <w:t xml:space="preserve"> </w:t>
      </w:r>
      <w:proofErr w:type="spellStart"/>
      <w:r w:rsidRPr="009F549F">
        <w:rPr>
          <w:rFonts w:eastAsia="Century Schoolbook"/>
        </w:rPr>
        <w:t>Shanske</w:t>
      </w:r>
      <w:proofErr w:type="spellEnd"/>
      <w:r w:rsidRPr="009F549F">
        <w:rPr>
          <w:rFonts w:eastAsia="Century Schoolbook"/>
        </w:rPr>
        <w:t xml:space="preserve">, </w:t>
      </w:r>
      <w:r w:rsidRPr="009F549F">
        <w:rPr>
          <w:rFonts w:eastAsia="Century Schoolbook"/>
          <w:i/>
        </w:rPr>
        <w:t>supra</w:t>
      </w:r>
      <w:r w:rsidRPr="009F549F">
        <w:rPr>
          <w:rFonts w:eastAsia="Century Schoolbook"/>
        </w:rPr>
        <w:t xml:space="preserve"> note </w:t>
      </w:r>
      <w:r>
        <w:rPr>
          <w:rFonts w:eastAsia="Century Schoolbook"/>
        </w:rPr>
        <w:fldChar w:fldCharType="begin"/>
      </w:r>
      <w:r>
        <w:rPr>
          <w:rFonts w:eastAsia="Century Schoolbook"/>
        </w:rPr>
        <w:instrText xml:space="preserve"> NOTEREF _Ref115691175 \h </w:instrText>
      </w:r>
      <w:r>
        <w:rPr>
          <w:rFonts w:eastAsia="Century Schoolbook"/>
        </w:rPr>
      </w:r>
      <w:r>
        <w:rPr>
          <w:rFonts w:eastAsia="Century Schoolbook"/>
        </w:rPr>
        <w:fldChar w:fldCharType="separate"/>
      </w:r>
      <w:r>
        <w:rPr>
          <w:rFonts w:eastAsia="Century Schoolbook"/>
        </w:rPr>
        <w:t>301</w:t>
      </w:r>
      <w:r>
        <w:rPr>
          <w:rFonts w:eastAsia="Century Schoolbook"/>
        </w:rPr>
        <w:fldChar w:fldCharType="end"/>
      </w:r>
      <w:r w:rsidRPr="00036097">
        <w:rPr>
          <w:rFonts w:eastAsia="Century Schoolbook"/>
        </w:rPr>
        <w:t>,</w:t>
      </w:r>
      <w:r w:rsidRPr="009F549F">
        <w:rPr>
          <w:rFonts w:eastAsia="Century Schoolbook"/>
        </w:rPr>
        <w:t xml:space="preserve"> at 178–81.</w:t>
      </w:r>
    </w:p>
  </w:footnote>
  <w:footnote w:id="309">
    <w:p w14:paraId="445084A6" w14:textId="717A9127" w:rsidR="006E30B5" w:rsidRPr="009F549F" w:rsidRDefault="006E30B5">
      <w:pPr>
        <w:rPr>
          <w:rFonts w:eastAsia="Century Schoolbook"/>
          <w:b/>
        </w:rPr>
      </w:pPr>
      <w:r w:rsidRPr="009F549F">
        <w:rPr>
          <w:vertAlign w:val="superscript"/>
        </w:rPr>
        <w:footnoteRef/>
      </w:r>
      <w:r w:rsidRPr="009F549F">
        <w:rPr>
          <w:rFonts w:eastAsia="Century Schoolbook"/>
        </w:rPr>
        <w:t xml:space="preserve"> Note, </w:t>
      </w:r>
      <w:r w:rsidRPr="009F549F">
        <w:rPr>
          <w:rFonts w:eastAsia="Century Schoolbook"/>
          <w:i/>
        </w:rPr>
        <w:t>Taxing Partnership Profits Interests: The Carried Interest Problem</w:t>
      </w:r>
      <w:r w:rsidRPr="009F549F">
        <w:rPr>
          <w:rFonts w:eastAsia="Century Schoolbook"/>
        </w:rPr>
        <w:t xml:space="preserve">, 124 </w:t>
      </w:r>
      <w:r w:rsidRPr="009F549F">
        <w:rPr>
          <w:rFonts w:eastAsia="Century Schoolbook"/>
          <w:smallCaps/>
        </w:rPr>
        <w:t>Harv. L. Rev</w:t>
      </w:r>
      <w:r w:rsidRPr="009F549F">
        <w:rPr>
          <w:rFonts w:eastAsia="Century Schoolbook"/>
        </w:rPr>
        <w:t>. 1773, 1774 (2011).</w:t>
      </w:r>
      <w:r w:rsidRPr="00036097">
        <w:rPr>
          <w:rFonts w:eastAsia="Century Schoolbook"/>
        </w:rPr>
        <w:t xml:space="preserve"> </w:t>
      </w:r>
    </w:p>
  </w:footnote>
  <w:footnote w:id="310">
    <w:p w14:paraId="5FFDA8BF" w14:textId="1927F8F1" w:rsidR="006E30B5" w:rsidRPr="009F549F" w:rsidRDefault="006E30B5">
      <w:pPr>
        <w:rPr>
          <w:rFonts w:eastAsia="Century Schoolbook"/>
        </w:rPr>
      </w:pPr>
      <w:r w:rsidRPr="009F549F">
        <w:rPr>
          <w:vertAlign w:val="superscript"/>
        </w:rPr>
        <w:footnoteRef/>
      </w:r>
      <w:r w:rsidRPr="00036097">
        <w:rPr>
          <w:rFonts w:eastAsia="Century Schoolbook"/>
        </w:rPr>
        <w:t xml:space="preserve"> Gregg D. Polsky, </w:t>
      </w:r>
      <w:r w:rsidRPr="00036097">
        <w:rPr>
          <w:rFonts w:eastAsia="Century Schoolbook"/>
          <w:i/>
        </w:rPr>
        <w:t>A Compendium of Private Equity Tax Games</w:t>
      </w:r>
      <w:r w:rsidRPr="00036097">
        <w:rPr>
          <w:rFonts w:eastAsia="Century Schoolbook"/>
        </w:rPr>
        <w:t xml:space="preserve">, 146 </w:t>
      </w:r>
      <w:r w:rsidRPr="00036097">
        <w:rPr>
          <w:rFonts w:eastAsia="Century Schoolbook"/>
          <w:smallCaps/>
        </w:rPr>
        <w:t>Tax Notes</w:t>
      </w:r>
      <w:r w:rsidRPr="00036097">
        <w:rPr>
          <w:rFonts w:eastAsia="Century Schoolbook"/>
        </w:rPr>
        <w:t xml:space="preserve"> 615, 615 &amp; n.2 (2015)</w:t>
      </w:r>
      <w:r>
        <w:rPr>
          <w:rFonts w:eastAsia="Century Schoolbook"/>
        </w:rPr>
        <w:t xml:space="preserve">; </w:t>
      </w:r>
      <w:r>
        <w:rPr>
          <w:rFonts w:eastAsia="Century Schoolbook"/>
          <w:i/>
          <w:iCs/>
        </w:rPr>
        <w:t xml:space="preserve">see also </w:t>
      </w:r>
      <w:r w:rsidRPr="00036097">
        <w:rPr>
          <w:rFonts w:eastAsia="Century Schoolbook"/>
        </w:rPr>
        <w:t xml:space="preserve">Fleischer, </w:t>
      </w:r>
      <w:r w:rsidRPr="00036097">
        <w:rPr>
          <w:rFonts w:eastAsia="Century Schoolbook"/>
          <w:i/>
        </w:rPr>
        <w:t xml:space="preserve">supra </w:t>
      </w:r>
      <w:r w:rsidRPr="00036097">
        <w:rPr>
          <w:rFonts w:eastAsia="Century Schoolbook"/>
        </w:rPr>
        <w:t xml:space="preserve">note </w:t>
      </w:r>
      <w:r w:rsidRPr="00036097">
        <w:rPr>
          <w:rFonts w:eastAsia="Century Schoolbook"/>
        </w:rPr>
        <w:fldChar w:fldCharType="begin"/>
      </w:r>
      <w:r w:rsidRPr="00036097">
        <w:rPr>
          <w:rFonts w:eastAsia="Century Schoolbook"/>
        </w:rPr>
        <w:instrText xml:space="preserve"> NOTEREF _Ref115852189 \h  \* MERGEFORMAT </w:instrText>
      </w:r>
      <w:r w:rsidRPr="00036097">
        <w:rPr>
          <w:rFonts w:eastAsia="Century Schoolbook"/>
        </w:rPr>
      </w:r>
      <w:r w:rsidRPr="00036097">
        <w:rPr>
          <w:rFonts w:eastAsia="Century Schoolbook"/>
        </w:rPr>
        <w:fldChar w:fldCharType="separate"/>
      </w:r>
      <w:r>
        <w:rPr>
          <w:rFonts w:eastAsia="Century Schoolbook"/>
        </w:rPr>
        <w:t>33</w:t>
      </w:r>
      <w:r w:rsidRPr="00036097">
        <w:rPr>
          <w:rFonts w:eastAsia="Century Schoolbook"/>
        </w:rPr>
        <w:fldChar w:fldCharType="end"/>
      </w:r>
      <w:r w:rsidRPr="009F549F">
        <w:rPr>
          <w:rFonts w:eastAsia="Century Schoolbook"/>
        </w:rPr>
        <w:t xml:space="preserve">, </w:t>
      </w:r>
      <w:r w:rsidRPr="00036097">
        <w:rPr>
          <w:rFonts w:eastAsia="Century Schoolbook"/>
        </w:rPr>
        <w:t xml:space="preserve">at </w:t>
      </w:r>
      <w:r w:rsidRPr="009F549F">
        <w:rPr>
          <w:rFonts w:eastAsia="Century Schoolbook"/>
        </w:rPr>
        <w:t>8.</w:t>
      </w:r>
      <w:r w:rsidRPr="00036097">
        <w:rPr>
          <w:rFonts w:eastAsia="Century Schoolbook"/>
        </w:rPr>
        <w:t xml:space="preserve"> </w:t>
      </w:r>
    </w:p>
  </w:footnote>
  <w:footnote w:id="311">
    <w:p w14:paraId="213F9C6D" w14:textId="0809C389" w:rsidR="006E30B5" w:rsidRPr="009F549F" w:rsidRDefault="006E30B5">
      <w:pPr>
        <w:rPr>
          <w:rFonts w:eastAsia="Century Schoolbook"/>
        </w:rPr>
      </w:pPr>
      <w:r w:rsidRPr="009F549F">
        <w:rPr>
          <w:vertAlign w:val="superscript"/>
        </w:rPr>
        <w:footnoteRef/>
      </w:r>
      <w:r w:rsidRPr="009F549F">
        <w:rPr>
          <w:rFonts w:eastAsia="Century Schoolbook"/>
        </w:rPr>
        <w:t xml:space="preserve"> Fleischer, </w:t>
      </w:r>
      <w:r w:rsidRPr="009F549F">
        <w:rPr>
          <w:rFonts w:eastAsia="Century Schoolbook"/>
          <w:i/>
        </w:rPr>
        <w:t xml:space="preserve">supra </w:t>
      </w:r>
      <w:r w:rsidRPr="009F549F">
        <w:rPr>
          <w:rFonts w:eastAsia="Century Schoolbook"/>
        </w:rPr>
        <w:t xml:space="preserve">note </w:t>
      </w:r>
      <w:r w:rsidRPr="00036097">
        <w:rPr>
          <w:rFonts w:eastAsia="Century Schoolbook"/>
        </w:rPr>
        <w:fldChar w:fldCharType="begin"/>
      </w:r>
      <w:r w:rsidRPr="00036097">
        <w:rPr>
          <w:rFonts w:eastAsia="Century Schoolbook"/>
        </w:rPr>
        <w:instrText xml:space="preserve"> NOTEREF _Ref115852189 \h  \* MERGEFORMAT </w:instrText>
      </w:r>
      <w:r w:rsidRPr="00036097">
        <w:rPr>
          <w:rFonts w:eastAsia="Century Schoolbook"/>
        </w:rPr>
      </w:r>
      <w:r w:rsidRPr="00036097">
        <w:rPr>
          <w:rFonts w:eastAsia="Century Schoolbook"/>
        </w:rPr>
        <w:fldChar w:fldCharType="separate"/>
      </w:r>
      <w:r>
        <w:rPr>
          <w:rFonts w:eastAsia="Century Schoolbook"/>
        </w:rPr>
        <w:t>33</w:t>
      </w:r>
      <w:r w:rsidRPr="00036097">
        <w:rPr>
          <w:rFonts w:eastAsia="Century Schoolbook"/>
        </w:rPr>
        <w:fldChar w:fldCharType="end"/>
      </w:r>
      <w:r w:rsidRPr="00036097">
        <w:rPr>
          <w:rFonts w:eastAsia="Century Schoolbook"/>
        </w:rPr>
        <w:t>,</w:t>
      </w:r>
      <w:r w:rsidRPr="009F549F">
        <w:rPr>
          <w:rFonts w:eastAsia="Century Schoolbook"/>
        </w:rPr>
        <w:t xml:space="preserve"> at 10–14.</w:t>
      </w:r>
      <w:r w:rsidRPr="00036097">
        <w:rPr>
          <w:rFonts w:eastAsia="Century Schoolbook"/>
        </w:rPr>
        <w:t xml:space="preserve"> </w:t>
      </w:r>
    </w:p>
  </w:footnote>
  <w:footnote w:id="312">
    <w:p w14:paraId="2060D0CD" w14:textId="34D02E60" w:rsidR="006E30B5" w:rsidRPr="009F549F" w:rsidRDefault="006E30B5">
      <w:pPr>
        <w:rPr>
          <w:rFonts w:eastAsia="Century Schoolbook"/>
        </w:rPr>
      </w:pPr>
      <w:r w:rsidRPr="009F549F">
        <w:rPr>
          <w:vertAlign w:val="superscript"/>
        </w:rPr>
        <w:footnoteRef/>
      </w:r>
      <w:r w:rsidRPr="009F549F">
        <w:rPr>
          <w:rFonts w:eastAsia="Century Schoolbook"/>
        </w:rPr>
        <w:t xml:space="preserve"> </w:t>
      </w:r>
      <w:r w:rsidRPr="009F549F">
        <w:rPr>
          <w:rFonts w:eastAsia="Century Schoolbook"/>
          <w:i/>
        </w:rPr>
        <w:t>Id.</w:t>
      </w:r>
      <w:r w:rsidRPr="009F549F">
        <w:rPr>
          <w:rFonts w:eastAsia="Century Schoolbook"/>
        </w:rPr>
        <w:t xml:space="preserve"> at 14–15</w:t>
      </w:r>
      <w:r w:rsidRPr="00036097">
        <w:rPr>
          <w:rFonts w:eastAsia="Century Schoolbook"/>
        </w:rPr>
        <w:t>.</w:t>
      </w:r>
    </w:p>
  </w:footnote>
  <w:footnote w:id="313">
    <w:p w14:paraId="3D36FBB9" w14:textId="77777777" w:rsidR="006E30B5" w:rsidRPr="009F549F" w:rsidRDefault="006E30B5">
      <w:pPr>
        <w:rPr>
          <w:rFonts w:eastAsia="Century Schoolbook"/>
        </w:rPr>
      </w:pPr>
      <w:r w:rsidRPr="009F549F">
        <w:rPr>
          <w:vertAlign w:val="superscript"/>
        </w:rPr>
        <w:footnoteRef/>
      </w:r>
      <w:r w:rsidRPr="009F549F">
        <w:rPr>
          <w:rFonts w:eastAsia="Century Schoolbook"/>
        </w:rPr>
        <w:t xml:space="preserve"> </w:t>
      </w:r>
      <w:r w:rsidRPr="009F549F">
        <w:rPr>
          <w:rFonts w:eastAsia="Century Schoolbook"/>
          <w:i/>
        </w:rPr>
        <w:t>Id.</w:t>
      </w:r>
      <w:r w:rsidRPr="009F549F">
        <w:rPr>
          <w:rFonts w:eastAsia="Century Schoolbook"/>
        </w:rPr>
        <w:t xml:space="preserve"> at 12.</w:t>
      </w:r>
    </w:p>
  </w:footnote>
  <w:footnote w:id="314">
    <w:p w14:paraId="0163CB57" w14:textId="799F0594" w:rsidR="006E30B5" w:rsidRPr="009F549F" w:rsidRDefault="006E30B5">
      <w:pPr>
        <w:rPr>
          <w:rFonts w:eastAsia="Century Schoolbook"/>
        </w:rPr>
      </w:pPr>
      <w:r w:rsidRPr="009F549F">
        <w:rPr>
          <w:vertAlign w:val="superscript"/>
        </w:rPr>
        <w:footnoteRef/>
      </w:r>
      <w:r w:rsidRPr="009F549F">
        <w:rPr>
          <w:rFonts w:eastAsia="Century Schoolbook"/>
        </w:rPr>
        <w:t xml:space="preserve"> Diamond v. </w:t>
      </w:r>
      <w:r w:rsidRPr="009F549F">
        <w:rPr>
          <w:rFonts w:eastAsia="Century Schoolbook"/>
        </w:rPr>
        <w:t xml:space="preserve">Comm’r, 492 F.2d 286, </w:t>
      </w:r>
      <w:r w:rsidRPr="00036097">
        <w:rPr>
          <w:rFonts w:eastAsia="Century Schoolbook"/>
        </w:rPr>
        <w:t>291–92</w:t>
      </w:r>
      <w:r w:rsidRPr="009F549F">
        <w:rPr>
          <w:rFonts w:eastAsia="Century Schoolbook"/>
        </w:rPr>
        <w:t xml:space="preserve"> (7th Cir. 1974) (summarizing and affirming the Tax Court’s reasoning).</w:t>
      </w:r>
    </w:p>
  </w:footnote>
  <w:footnote w:id="315">
    <w:p w14:paraId="6C7C87FE" w14:textId="4FB77BE4" w:rsidR="006E30B5" w:rsidRPr="009F549F" w:rsidRDefault="006E30B5">
      <w:pPr>
        <w:rPr>
          <w:rFonts w:eastAsia="Century Schoolbook"/>
        </w:rPr>
      </w:pPr>
      <w:r w:rsidRPr="009F549F">
        <w:rPr>
          <w:vertAlign w:val="superscript"/>
        </w:rPr>
        <w:footnoteRef/>
      </w:r>
      <w:r w:rsidRPr="009F549F">
        <w:rPr>
          <w:rFonts w:eastAsia="Century Schoolbook"/>
        </w:rPr>
        <w:t xml:space="preserve"> Fleischer, </w:t>
      </w:r>
      <w:r w:rsidRPr="009F549F">
        <w:rPr>
          <w:rFonts w:eastAsia="Century Schoolbook"/>
          <w:i/>
        </w:rPr>
        <w:t xml:space="preserve">supra </w:t>
      </w:r>
      <w:r w:rsidRPr="009F549F">
        <w:rPr>
          <w:rFonts w:eastAsia="Century Schoolbook"/>
        </w:rPr>
        <w:t xml:space="preserve">note </w:t>
      </w:r>
      <w:r w:rsidRPr="00036097">
        <w:rPr>
          <w:rFonts w:eastAsia="Century Schoolbook"/>
        </w:rPr>
        <w:fldChar w:fldCharType="begin"/>
      </w:r>
      <w:r w:rsidRPr="00036097">
        <w:rPr>
          <w:rFonts w:eastAsia="Century Schoolbook"/>
        </w:rPr>
        <w:instrText xml:space="preserve"> NOTEREF _Ref115852189 \h  \* MERGEFORMAT </w:instrText>
      </w:r>
      <w:r w:rsidRPr="00036097">
        <w:rPr>
          <w:rFonts w:eastAsia="Century Schoolbook"/>
        </w:rPr>
      </w:r>
      <w:r w:rsidRPr="00036097">
        <w:rPr>
          <w:rFonts w:eastAsia="Century Schoolbook"/>
        </w:rPr>
        <w:fldChar w:fldCharType="separate"/>
      </w:r>
      <w:r>
        <w:rPr>
          <w:rFonts w:eastAsia="Century Schoolbook"/>
        </w:rPr>
        <w:t>33</w:t>
      </w:r>
      <w:r w:rsidRPr="00036097">
        <w:rPr>
          <w:rFonts w:eastAsia="Century Schoolbook"/>
        </w:rPr>
        <w:fldChar w:fldCharType="end"/>
      </w:r>
      <w:r w:rsidRPr="00036097">
        <w:rPr>
          <w:rFonts w:eastAsia="Century Schoolbook"/>
        </w:rPr>
        <w:t>,</w:t>
      </w:r>
      <w:r w:rsidRPr="009F549F">
        <w:rPr>
          <w:rFonts w:eastAsia="Century Schoolbook"/>
        </w:rPr>
        <w:t xml:space="preserve"> at 24–26.</w:t>
      </w:r>
      <w:r w:rsidRPr="00036097">
        <w:rPr>
          <w:rFonts w:eastAsia="Century Schoolbook"/>
        </w:rPr>
        <w:t xml:space="preserve"> </w:t>
      </w:r>
    </w:p>
  </w:footnote>
  <w:footnote w:id="316">
    <w:p w14:paraId="007A0EBE" w14:textId="3FD7FDAA" w:rsidR="006E30B5" w:rsidRPr="009F549F" w:rsidRDefault="006E30B5">
      <w:pPr>
        <w:rPr>
          <w:rFonts w:eastAsia="Century Schoolbook"/>
        </w:rPr>
      </w:pPr>
      <w:r w:rsidRPr="009F549F">
        <w:rPr>
          <w:vertAlign w:val="superscript"/>
        </w:rPr>
        <w:footnoteRef/>
      </w:r>
      <w:r w:rsidRPr="009F549F">
        <w:rPr>
          <w:rFonts w:eastAsia="Century Schoolbook"/>
        </w:rPr>
        <w:t xml:space="preserve"> David I. Walker, </w:t>
      </w:r>
      <w:r w:rsidRPr="009F549F">
        <w:rPr>
          <w:rFonts w:eastAsia="Century Schoolbook"/>
          <w:i/>
        </w:rPr>
        <w:t>The Practice and Tax Consequences of Nonqualified Deferred Compensation</w:t>
      </w:r>
      <w:r w:rsidRPr="009F549F">
        <w:rPr>
          <w:rFonts w:eastAsia="Century Schoolbook"/>
        </w:rPr>
        <w:t xml:space="preserve">, 75 </w:t>
      </w:r>
      <w:r w:rsidRPr="009F549F">
        <w:rPr>
          <w:rFonts w:eastAsia="Century Schoolbook"/>
          <w:smallCaps/>
        </w:rPr>
        <w:t>Wash. &amp; Lee L. Rev.</w:t>
      </w:r>
      <w:r w:rsidRPr="009F549F">
        <w:rPr>
          <w:rFonts w:eastAsia="Century Schoolbook"/>
        </w:rPr>
        <w:t xml:space="preserve"> </w:t>
      </w:r>
      <w:r w:rsidRPr="009F549F">
        <w:rPr>
          <w:rFonts w:eastAsia="Century Schoolbook"/>
        </w:rPr>
        <w:t xml:space="preserve">2065, </w:t>
      </w:r>
      <w:r w:rsidRPr="00036097">
        <w:rPr>
          <w:rFonts w:eastAsia="Century Schoolbook"/>
        </w:rPr>
        <w:t>2068</w:t>
      </w:r>
      <w:r w:rsidRPr="009F549F">
        <w:rPr>
          <w:rFonts w:eastAsia="Century Schoolbook"/>
        </w:rPr>
        <w:t xml:space="preserve"> (2018). Our proposal includes equity-based compensation, although standard industry usage of the term typically excludes equity arrangements. </w:t>
      </w:r>
      <w:r w:rsidRPr="00036097">
        <w:rPr>
          <w:rFonts w:eastAsia="Century Schoolbook"/>
          <w:i/>
          <w:iCs/>
        </w:rPr>
        <w:t xml:space="preserve">See </w:t>
      </w:r>
      <w:r w:rsidRPr="00036097">
        <w:rPr>
          <w:rFonts w:eastAsia="Century Schoolbook"/>
          <w:i/>
        </w:rPr>
        <w:t>id</w:t>
      </w:r>
      <w:r w:rsidRPr="009F549F">
        <w:rPr>
          <w:rFonts w:eastAsia="Century Schoolbook"/>
          <w:i/>
        </w:rPr>
        <w:t xml:space="preserve">. </w:t>
      </w:r>
      <w:r w:rsidRPr="009F549F">
        <w:rPr>
          <w:rFonts w:eastAsia="Century Schoolbook"/>
        </w:rPr>
        <w:t>at 2068 n.2.</w:t>
      </w:r>
    </w:p>
  </w:footnote>
  <w:footnote w:id="317">
    <w:p w14:paraId="65944A97" w14:textId="218A5605" w:rsidR="006E30B5" w:rsidRPr="009F549F" w:rsidRDefault="006E30B5">
      <w:pPr>
        <w:rPr>
          <w:rFonts w:eastAsia="Century Schoolbook"/>
          <w:b/>
        </w:rPr>
      </w:pPr>
      <w:r w:rsidRPr="009F549F">
        <w:rPr>
          <w:vertAlign w:val="superscript"/>
        </w:rPr>
        <w:footnoteRef/>
      </w:r>
      <w:r w:rsidRPr="009F549F">
        <w:rPr>
          <w:rFonts w:eastAsia="Century Schoolbook"/>
        </w:rPr>
        <w:t xml:space="preserve"> Justin Elliot, Patricia Callahan</w:t>
      </w:r>
      <w:r w:rsidRPr="007D6E99">
        <w:rPr>
          <w:rFonts w:ascii="Century Schoolbook" w:eastAsia="Century Schoolbook" w:hAnsi="Century Schoolbook" w:cs="Century Schoolbook"/>
          <w:sz w:val="20"/>
          <w:szCs w:val="20"/>
        </w:rPr>
        <w:t>,</w:t>
      </w:r>
      <w:r w:rsidRPr="009F549F">
        <w:rPr>
          <w:rFonts w:eastAsia="Century Schoolbook"/>
        </w:rPr>
        <w:t xml:space="preserve"> &amp; James Bandler, </w:t>
      </w:r>
      <w:r w:rsidRPr="009F549F">
        <w:rPr>
          <w:rFonts w:eastAsia="Century Schoolbook"/>
          <w:i/>
        </w:rPr>
        <w:t xml:space="preserve">Lord of the </w:t>
      </w:r>
      <w:proofErr w:type="spellStart"/>
      <w:r w:rsidRPr="009F549F">
        <w:rPr>
          <w:rFonts w:eastAsia="Century Schoolbook"/>
          <w:i/>
        </w:rPr>
        <w:t>Roths</w:t>
      </w:r>
      <w:proofErr w:type="spellEnd"/>
      <w:r w:rsidRPr="009F549F">
        <w:rPr>
          <w:rFonts w:eastAsia="Century Schoolbook"/>
          <w:i/>
        </w:rPr>
        <w:t>: How Tech Mogul Peter Thiel Turned a Retirement Account for the Middle Class Into a $5 Billion Tax-Free Piggy Bank</w:t>
      </w:r>
      <w:r w:rsidRPr="009F549F">
        <w:rPr>
          <w:rFonts w:eastAsia="Century Schoolbook"/>
        </w:rPr>
        <w:t xml:space="preserve">, </w:t>
      </w:r>
      <w:r w:rsidRPr="009F549F">
        <w:rPr>
          <w:rFonts w:eastAsia="Century Schoolbook"/>
          <w:smallCaps/>
        </w:rPr>
        <w:t>ProPublica</w:t>
      </w:r>
      <w:r w:rsidRPr="009F549F">
        <w:rPr>
          <w:rFonts w:eastAsia="Century Schoolbook"/>
        </w:rPr>
        <w:t xml:space="preserve"> (June 24, 2021</w:t>
      </w:r>
      <w:r w:rsidRPr="00036097">
        <w:rPr>
          <w:rFonts w:eastAsia="Century Schoolbook"/>
        </w:rPr>
        <w:t xml:space="preserve">, 5:00 </w:t>
      </w:r>
      <w:r>
        <w:rPr>
          <w:rFonts w:eastAsia="Century Schoolbook"/>
        </w:rPr>
        <w:t>AM</w:t>
      </w:r>
      <w:r w:rsidRPr="009F549F">
        <w:rPr>
          <w:rFonts w:eastAsia="Century Schoolbook"/>
        </w:rPr>
        <w:t>) https://www.propublica.org/article/lord-of-the-roths-how-tech-mogul-peter-thiel-turned-a-retirement-account-for-the-middle-class-into-a-5-billion-dollar-tax-free-piggy-bank</w:t>
      </w:r>
      <w:r w:rsidRPr="00036097">
        <w:rPr>
          <w:rFonts w:eastAsia="Century Schoolbook"/>
        </w:rPr>
        <w:t xml:space="preserve"> [https://perma.cc/4YJY-PBGK];</w:t>
      </w:r>
      <w:r w:rsidRPr="009F549F">
        <w:rPr>
          <w:rFonts w:eastAsia="Century Schoolbook"/>
        </w:rPr>
        <w:t xml:space="preserve"> Justin Elliot, Patricia Callahan</w:t>
      </w:r>
      <w:r w:rsidRPr="007D6E99">
        <w:rPr>
          <w:rFonts w:ascii="Century Schoolbook" w:eastAsia="Century Schoolbook" w:hAnsi="Century Schoolbook" w:cs="Century Schoolbook"/>
          <w:sz w:val="20"/>
          <w:szCs w:val="20"/>
        </w:rPr>
        <w:t>,</w:t>
      </w:r>
      <w:r w:rsidRPr="009F549F">
        <w:rPr>
          <w:rFonts w:eastAsia="Century Schoolbook"/>
        </w:rPr>
        <w:t xml:space="preserve"> &amp; James Bandler,</w:t>
      </w:r>
      <w:r w:rsidRPr="009F549F">
        <w:rPr>
          <w:rFonts w:eastAsia="Century Schoolbook"/>
          <w:i/>
        </w:rPr>
        <w:t xml:space="preserve"> House Bill Would Blow Up the Massive IRAs of the </w:t>
      </w:r>
      <w:proofErr w:type="spellStart"/>
      <w:r w:rsidRPr="009F549F">
        <w:rPr>
          <w:rFonts w:eastAsia="Century Schoolbook"/>
          <w:i/>
        </w:rPr>
        <w:t>Superwealthy</w:t>
      </w:r>
      <w:proofErr w:type="spellEnd"/>
      <w:r w:rsidRPr="009F549F">
        <w:rPr>
          <w:rFonts w:eastAsia="Century Schoolbook"/>
        </w:rPr>
        <w:t xml:space="preserve">, </w:t>
      </w:r>
      <w:r w:rsidRPr="009F549F">
        <w:rPr>
          <w:rFonts w:eastAsia="Century Schoolbook"/>
          <w:smallCaps/>
        </w:rPr>
        <w:t>ProPublica</w:t>
      </w:r>
      <w:r w:rsidRPr="009F549F">
        <w:rPr>
          <w:rFonts w:eastAsia="Century Schoolbook"/>
        </w:rPr>
        <w:t xml:space="preserve"> (Sept. 21, 2021</w:t>
      </w:r>
      <w:r w:rsidRPr="00036097">
        <w:rPr>
          <w:rFonts w:eastAsia="Century Schoolbook"/>
        </w:rPr>
        <w:t xml:space="preserve">, 1:00 </w:t>
      </w:r>
      <w:r>
        <w:rPr>
          <w:rFonts w:eastAsia="Century Schoolbook"/>
        </w:rPr>
        <w:t>PM</w:t>
      </w:r>
      <w:r w:rsidRPr="009F549F">
        <w:rPr>
          <w:rFonts w:eastAsia="Century Schoolbook"/>
        </w:rPr>
        <w:t>) https://www.propublica.org/article/</w:t>
      </w:r>
      <w:r>
        <w:rPr>
          <w:rFonts w:eastAsia="Century Schoolbook"/>
        </w:rPr>
        <w:br/>
      </w:r>
      <w:r w:rsidRPr="009F549F">
        <w:rPr>
          <w:rFonts w:eastAsia="Century Schoolbook"/>
        </w:rPr>
        <w:t>house-bill-would-blow-up-the-massive-</w:t>
      </w:r>
      <w:proofErr w:type="spellStart"/>
      <w:r w:rsidRPr="009F549F">
        <w:rPr>
          <w:rFonts w:eastAsia="Century Schoolbook"/>
        </w:rPr>
        <w:t>iras</w:t>
      </w:r>
      <w:proofErr w:type="spellEnd"/>
      <w:r w:rsidRPr="009F549F">
        <w:rPr>
          <w:rFonts w:eastAsia="Century Schoolbook"/>
        </w:rPr>
        <w:t>-of-the-</w:t>
      </w:r>
      <w:proofErr w:type="spellStart"/>
      <w:r w:rsidRPr="009F549F">
        <w:rPr>
          <w:rFonts w:eastAsia="Century Schoolbook"/>
        </w:rPr>
        <w:t>superwealthy</w:t>
      </w:r>
      <w:proofErr w:type="spellEnd"/>
      <w:r>
        <w:rPr>
          <w:rFonts w:eastAsia="Century Schoolbook"/>
        </w:rPr>
        <w:t xml:space="preserve"> </w:t>
      </w:r>
      <w:r w:rsidRPr="00036097">
        <w:rPr>
          <w:rFonts w:eastAsia="Century Schoolbook"/>
        </w:rPr>
        <w:t>[https://perma.cc/G9WE-37VP].</w:t>
      </w:r>
      <w:r w:rsidRPr="009F549F">
        <w:rPr>
          <w:rFonts w:eastAsia="Century Schoolbook"/>
        </w:rPr>
        <w:t xml:space="preserve"> For brief overviews of “qualified” retirement savings, see Brendan </w:t>
      </w:r>
      <w:r w:rsidRPr="00036097">
        <w:rPr>
          <w:rFonts w:eastAsia="Century Schoolbook"/>
        </w:rPr>
        <w:t xml:space="preserve">S. </w:t>
      </w:r>
      <w:r w:rsidRPr="009F549F">
        <w:rPr>
          <w:rFonts w:eastAsia="Century Schoolbook"/>
        </w:rPr>
        <w:t xml:space="preserve">Maher, </w:t>
      </w:r>
      <w:r w:rsidRPr="009F549F">
        <w:rPr>
          <w:rFonts w:eastAsia="Century Schoolbook"/>
          <w:i/>
        </w:rPr>
        <w:t>Regulating Employment-Based Anything</w:t>
      </w:r>
      <w:r w:rsidRPr="009F549F">
        <w:rPr>
          <w:rFonts w:eastAsia="Century Schoolbook"/>
        </w:rPr>
        <w:t xml:space="preserve">, 100 </w:t>
      </w:r>
      <w:r w:rsidRPr="009F549F">
        <w:rPr>
          <w:rFonts w:eastAsia="Century Schoolbook"/>
          <w:smallCaps/>
        </w:rPr>
        <w:t>Minn. L. Rev.</w:t>
      </w:r>
      <w:r w:rsidRPr="009F549F">
        <w:rPr>
          <w:rFonts w:eastAsia="Century Schoolbook"/>
        </w:rPr>
        <w:t xml:space="preserve"> 1257, 1268–</w:t>
      </w:r>
      <w:r w:rsidRPr="00036097">
        <w:rPr>
          <w:rFonts w:eastAsia="Century Schoolbook"/>
        </w:rPr>
        <w:t>70</w:t>
      </w:r>
      <w:r w:rsidRPr="009F549F">
        <w:rPr>
          <w:rFonts w:eastAsia="Century Schoolbook"/>
        </w:rPr>
        <w:t xml:space="preserve"> (2016); Eric D. </w:t>
      </w:r>
      <w:proofErr w:type="spellStart"/>
      <w:r w:rsidRPr="009F549F">
        <w:rPr>
          <w:rFonts w:eastAsia="Century Schoolbook"/>
        </w:rPr>
        <w:t>Chason</w:t>
      </w:r>
      <w:proofErr w:type="spellEnd"/>
      <w:r w:rsidRPr="009F549F">
        <w:rPr>
          <w:rFonts w:eastAsia="Century Schoolbook"/>
        </w:rPr>
        <w:t xml:space="preserve">, </w:t>
      </w:r>
      <w:r w:rsidRPr="009F549F">
        <w:rPr>
          <w:rFonts w:eastAsia="Century Schoolbook"/>
          <w:i/>
        </w:rPr>
        <w:t>Deferred Compensation Reform: Taxing the Fruit of the Trees in Its Proper Season</w:t>
      </w:r>
      <w:r w:rsidRPr="009F549F">
        <w:rPr>
          <w:rFonts w:eastAsia="Century Schoolbook"/>
        </w:rPr>
        <w:t xml:space="preserve">, 67 </w:t>
      </w:r>
      <w:r w:rsidRPr="009F549F">
        <w:rPr>
          <w:rFonts w:eastAsia="Century Schoolbook"/>
          <w:smallCaps/>
        </w:rPr>
        <w:t>Ohio St.</w:t>
      </w:r>
      <w:r w:rsidRPr="009F549F">
        <w:rPr>
          <w:rFonts w:eastAsia="Century Schoolbook"/>
        </w:rPr>
        <w:t xml:space="preserve"> L.J. 347, 360–63 (2006).</w:t>
      </w:r>
      <w:r w:rsidRPr="00036097">
        <w:rPr>
          <w:rFonts w:eastAsia="Century Schoolbook"/>
        </w:rPr>
        <w:t xml:space="preserve"> </w:t>
      </w:r>
    </w:p>
  </w:footnote>
  <w:footnote w:id="318">
    <w:p w14:paraId="04FE6C36" w14:textId="1FD89B81" w:rsidR="006E30B5" w:rsidRPr="009F549F" w:rsidRDefault="006E30B5">
      <w:pPr>
        <w:rPr>
          <w:rFonts w:eastAsia="Century Schoolbook"/>
        </w:rPr>
      </w:pPr>
      <w:r w:rsidRPr="009F549F">
        <w:rPr>
          <w:vertAlign w:val="superscript"/>
        </w:rPr>
        <w:footnoteRef/>
      </w:r>
      <w:r w:rsidRPr="009F549F">
        <w:rPr>
          <w:rFonts w:eastAsia="Century Schoolbook"/>
        </w:rPr>
        <w:t xml:space="preserve"> Robert J. Jackson</w:t>
      </w:r>
      <w:r w:rsidRPr="00036097">
        <w:rPr>
          <w:rFonts w:eastAsia="Century Schoolbook"/>
        </w:rPr>
        <w:t>, Jr.</w:t>
      </w:r>
      <w:r w:rsidRPr="009F549F">
        <w:rPr>
          <w:rFonts w:eastAsia="Century Schoolbook"/>
        </w:rPr>
        <w:t xml:space="preserve"> &amp; Colleen </w:t>
      </w:r>
      <w:proofErr w:type="spellStart"/>
      <w:r w:rsidRPr="009F549F">
        <w:rPr>
          <w:rFonts w:eastAsia="Century Schoolbook"/>
        </w:rPr>
        <w:t>Honigsberg</w:t>
      </w:r>
      <w:proofErr w:type="spellEnd"/>
      <w:r w:rsidRPr="009F549F">
        <w:rPr>
          <w:rFonts w:eastAsia="Century Schoolbook"/>
        </w:rPr>
        <w:t xml:space="preserve">, </w:t>
      </w:r>
      <w:r w:rsidRPr="009F549F">
        <w:rPr>
          <w:rFonts w:eastAsia="Century Schoolbook"/>
          <w:i/>
        </w:rPr>
        <w:t>The Hidden Nature of Executive Retirement Pay</w:t>
      </w:r>
      <w:r w:rsidRPr="009F549F">
        <w:rPr>
          <w:rFonts w:eastAsia="Century Schoolbook"/>
        </w:rPr>
        <w:t xml:space="preserve">, 100 </w:t>
      </w:r>
      <w:r w:rsidRPr="009F549F">
        <w:rPr>
          <w:rFonts w:eastAsia="Century Schoolbook"/>
          <w:smallCaps/>
        </w:rPr>
        <w:t>Va. L. Rev</w:t>
      </w:r>
      <w:r w:rsidRPr="009F549F">
        <w:rPr>
          <w:rFonts w:eastAsia="Century Schoolbook"/>
        </w:rPr>
        <w:t>. 479, 491–93, 506 (2014).</w:t>
      </w:r>
    </w:p>
  </w:footnote>
  <w:footnote w:id="319">
    <w:p w14:paraId="2F89FB08" w14:textId="10141CD1" w:rsidR="006E30B5" w:rsidRPr="009F549F" w:rsidRDefault="006E30B5">
      <w:pPr>
        <w:rPr>
          <w:rFonts w:eastAsia="Century Schoolbook"/>
        </w:rPr>
      </w:pPr>
      <w:r w:rsidRPr="009F549F">
        <w:rPr>
          <w:vertAlign w:val="superscript"/>
        </w:rPr>
        <w:footnoteRef/>
      </w:r>
      <w:r w:rsidRPr="009F549F">
        <w:rPr>
          <w:rFonts w:eastAsia="Century Schoolbook"/>
        </w:rPr>
        <w:t xml:space="preserve"> Walker, </w:t>
      </w:r>
      <w:r w:rsidRPr="009F549F">
        <w:rPr>
          <w:rFonts w:eastAsia="Century Schoolbook"/>
          <w:i/>
        </w:rPr>
        <w:t>supra</w:t>
      </w:r>
      <w:r w:rsidRPr="009F549F">
        <w:rPr>
          <w:rFonts w:eastAsia="Century Schoolbook"/>
        </w:rPr>
        <w:t xml:space="preserve"> note </w:t>
      </w:r>
      <w:r>
        <w:rPr>
          <w:rFonts w:eastAsia="Century Schoolbook"/>
        </w:rPr>
        <w:fldChar w:fldCharType="begin"/>
      </w:r>
      <w:r>
        <w:rPr>
          <w:rFonts w:eastAsia="Century Schoolbook"/>
        </w:rPr>
        <w:instrText xml:space="preserve"> NOTEREF _Ref119438912 \h </w:instrText>
      </w:r>
      <w:r>
        <w:rPr>
          <w:rFonts w:eastAsia="Century Schoolbook"/>
        </w:rPr>
      </w:r>
      <w:r>
        <w:rPr>
          <w:rFonts w:eastAsia="Century Schoolbook"/>
        </w:rPr>
        <w:fldChar w:fldCharType="separate"/>
      </w:r>
      <w:r>
        <w:rPr>
          <w:rFonts w:eastAsia="Century Schoolbook"/>
        </w:rPr>
        <w:t>312</w:t>
      </w:r>
      <w:r>
        <w:rPr>
          <w:rFonts w:eastAsia="Century Schoolbook"/>
        </w:rPr>
        <w:fldChar w:fldCharType="end"/>
      </w:r>
      <w:r w:rsidRPr="00036097">
        <w:rPr>
          <w:rFonts w:eastAsia="Century Schoolbook"/>
        </w:rPr>
        <w:t>,</w:t>
      </w:r>
      <w:r w:rsidRPr="009F549F">
        <w:rPr>
          <w:rFonts w:eastAsia="Century Schoolbook"/>
        </w:rPr>
        <w:t xml:space="preserve"> at 2081. On the technicalities, see I.R.C. § 409A. </w:t>
      </w:r>
    </w:p>
  </w:footnote>
  <w:footnote w:id="320">
    <w:p w14:paraId="5B702A36" w14:textId="628708F9" w:rsidR="006E30B5" w:rsidRPr="009F549F" w:rsidRDefault="006E30B5">
      <w:pPr>
        <w:rPr>
          <w:rFonts w:eastAsia="Century Schoolbook"/>
        </w:rPr>
      </w:pPr>
      <w:r w:rsidRPr="009F549F">
        <w:rPr>
          <w:vertAlign w:val="superscript"/>
        </w:rPr>
        <w:footnoteRef/>
      </w:r>
      <w:r w:rsidRPr="007D6E99">
        <w:rPr>
          <w:rFonts w:ascii="Century Schoolbook" w:eastAsia="Century Schoolbook" w:hAnsi="Century Schoolbook" w:cs="Century Schoolbook"/>
          <w:sz w:val="20"/>
          <w:szCs w:val="20"/>
        </w:rPr>
        <w:t xml:space="preserve"> </w:t>
      </w:r>
      <w:r w:rsidRPr="009F549F">
        <w:rPr>
          <w:rFonts w:eastAsia="Century Schoolbook"/>
        </w:rPr>
        <w:t xml:space="preserve"> Gregg D. Polsky &amp; Brant </w:t>
      </w:r>
      <w:r w:rsidRPr="00036097">
        <w:rPr>
          <w:rFonts w:eastAsia="Century Schoolbook"/>
        </w:rPr>
        <w:t xml:space="preserve">J. </w:t>
      </w:r>
      <w:proofErr w:type="spellStart"/>
      <w:r w:rsidRPr="009F549F">
        <w:rPr>
          <w:rFonts w:eastAsia="Century Schoolbook"/>
        </w:rPr>
        <w:t>Hellwig</w:t>
      </w:r>
      <w:proofErr w:type="spellEnd"/>
      <w:r w:rsidRPr="009F549F">
        <w:rPr>
          <w:rFonts w:eastAsia="Century Schoolbook"/>
        </w:rPr>
        <w:t xml:space="preserve">, </w:t>
      </w:r>
      <w:r w:rsidRPr="009F549F">
        <w:rPr>
          <w:rFonts w:eastAsia="Century Schoolbook"/>
          <w:i/>
        </w:rPr>
        <w:t xml:space="preserve">Taxing the Promise </w:t>
      </w:r>
      <w:r w:rsidRPr="00036097">
        <w:rPr>
          <w:rFonts w:eastAsia="Century Schoolbook"/>
          <w:i/>
        </w:rPr>
        <w:t>To</w:t>
      </w:r>
      <w:r w:rsidRPr="009F549F">
        <w:rPr>
          <w:rFonts w:eastAsia="Century Schoolbook"/>
          <w:i/>
        </w:rPr>
        <w:t xml:space="preserve"> Pay</w:t>
      </w:r>
      <w:r w:rsidRPr="009F549F">
        <w:rPr>
          <w:rFonts w:eastAsia="Century Schoolbook"/>
        </w:rPr>
        <w:t xml:space="preserve">, 89 </w:t>
      </w:r>
      <w:r w:rsidRPr="009F549F">
        <w:rPr>
          <w:rFonts w:eastAsia="Century Schoolbook"/>
          <w:smallCaps/>
        </w:rPr>
        <w:t>Minn. L. Rev.</w:t>
      </w:r>
      <w:r w:rsidRPr="009F549F">
        <w:rPr>
          <w:rFonts w:eastAsia="Century Schoolbook"/>
        </w:rPr>
        <w:t xml:space="preserve"> 1092, 1134–</w:t>
      </w:r>
      <w:r w:rsidRPr="00036097">
        <w:rPr>
          <w:rFonts w:eastAsia="Century Schoolbook"/>
        </w:rPr>
        <w:t>37</w:t>
      </w:r>
      <w:r w:rsidRPr="009F549F">
        <w:rPr>
          <w:rFonts w:eastAsia="Century Schoolbook"/>
        </w:rPr>
        <w:t xml:space="preserve"> (2004).</w:t>
      </w:r>
      <w:r w:rsidRPr="00036097">
        <w:rPr>
          <w:rFonts w:eastAsia="Century Schoolbook"/>
        </w:rPr>
        <w:t xml:space="preserve"> </w:t>
      </w:r>
    </w:p>
  </w:footnote>
  <w:footnote w:id="321">
    <w:p w14:paraId="79103E51" w14:textId="0A3C8D96" w:rsidR="006E30B5" w:rsidRPr="009F549F" w:rsidRDefault="006E30B5">
      <w:pPr>
        <w:rPr>
          <w:rFonts w:eastAsia="Century Schoolbook"/>
          <w:b/>
        </w:rPr>
      </w:pPr>
      <w:r w:rsidRPr="009F549F">
        <w:rPr>
          <w:vertAlign w:val="superscript"/>
        </w:rPr>
        <w:footnoteRef/>
      </w:r>
      <w:r w:rsidRPr="009F549F">
        <w:rPr>
          <w:rFonts w:eastAsia="Century Schoolbook"/>
        </w:rPr>
        <w:t xml:space="preserve"> </w:t>
      </w:r>
      <w:proofErr w:type="spellStart"/>
      <w:r w:rsidRPr="009F549F">
        <w:rPr>
          <w:rFonts w:eastAsia="Century Schoolbook"/>
        </w:rPr>
        <w:t>Casale</w:t>
      </w:r>
      <w:proofErr w:type="spellEnd"/>
      <w:r w:rsidRPr="009F549F">
        <w:rPr>
          <w:rFonts w:eastAsia="Century Schoolbook"/>
        </w:rPr>
        <w:t xml:space="preserve"> v. Comm’r, 247 F.2d 440, 443–44 (2d Cir. </w:t>
      </w:r>
      <w:r w:rsidRPr="009F549F">
        <w:rPr>
          <w:rFonts w:eastAsia="Century Schoolbook"/>
        </w:rPr>
        <w:t xml:space="preserve">1957); </w:t>
      </w:r>
      <w:r w:rsidRPr="009F549F">
        <w:rPr>
          <w:rFonts w:eastAsia="Century Schoolbook"/>
          <w:i/>
        </w:rPr>
        <w:t>see</w:t>
      </w:r>
      <w:r w:rsidRPr="009F549F">
        <w:rPr>
          <w:rFonts w:eastAsia="Century Schoolbook"/>
        </w:rPr>
        <w:t xml:space="preserve"> Polsky &amp; </w:t>
      </w:r>
      <w:proofErr w:type="spellStart"/>
      <w:r w:rsidRPr="009F549F">
        <w:rPr>
          <w:rFonts w:eastAsia="Century Schoolbook"/>
        </w:rPr>
        <w:t>Hellwig</w:t>
      </w:r>
      <w:proofErr w:type="spellEnd"/>
      <w:r w:rsidRPr="009F549F">
        <w:rPr>
          <w:rFonts w:eastAsia="Century Schoolbook"/>
        </w:rPr>
        <w:t xml:space="preserve">, </w:t>
      </w:r>
      <w:r w:rsidRPr="009F549F">
        <w:rPr>
          <w:rFonts w:eastAsia="Century Schoolbook"/>
          <w:i/>
        </w:rPr>
        <w:t>supra</w:t>
      </w:r>
      <w:r w:rsidRPr="009F549F">
        <w:rPr>
          <w:rFonts w:eastAsia="Century Schoolbook"/>
        </w:rPr>
        <w:t xml:space="preserve"> note </w:t>
      </w:r>
      <w:r>
        <w:rPr>
          <w:rFonts w:eastAsia="Century Schoolbook"/>
        </w:rPr>
        <w:fldChar w:fldCharType="begin"/>
      </w:r>
      <w:r>
        <w:rPr>
          <w:rFonts w:eastAsia="Century Schoolbook"/>
        </w:rPr>
        <w:instrText xml:space="preserve"> NOTEREF _Ref115445215 \h </w:instrText>
      </w:r>
      <w:r>
        <w:rPr>
          <w:rFonts w:eastAsia="Century Schoolbook"/>
        </w:rPr>
      </w:r>
      <w:r>
        <w:rPr>
          <w:rFonts w:eastAsia="Century Schoolbook"/>
        </w:rPr>
        <w:fldChar w:fldCharType="separate"/>
      </w:r>
      <w:r>
        <w:rPr>
          <w:rFonts w:eastAsia="Century Schoolbook"/>
        </w:rPr>
        <w:t>316</w:t>
      </w:r>
      <w:r>
        <w:rPr>
          <w:rFonts w:eastAsia="Century Schoolbook"/>
        </w:rPr>
        <w:fldChar w:fldCharType="end"/>
      </w:r>
      <w:r w:rsidRPr="00036097">
        <w:rPr>
          <w:rFonts w:eastAsia="Century Schoolbook"/>
        </w:rPr>
        <w:t>,</w:t>
      </w:r>
      <w:r w:rsidRPr="009F549F">
        <w:rPr>
          <w:rFonts w:eastAsia="Century Schoolbook"/>
        </w:rPr>
        <w:t xml:space="preserve"> at 1123</w:t>
      </w:r>
      <w:r w:rsidRPr="00036097">
        <w:rPr>
          <w:rFonts w:eastAsia="Century Schoolbook"/>
        </w:rPr>
        <w:t>–</w:t>
      </w:r>
      <w:r w:rsidRPr="009F549F">
        <w:rPr>
          <w:rFonts w:eastAsia="Century Schoolbook"/>
        </w:rPr>
        <w:t>24</w:t>
      </w:r>
      <w:r w:rsidRPr="00036097">
        <w:rPr>
          <w:rFonts w:eastAsia="Century Schoolbook"/>
        </w:rPr>
        <w:t xml:space="preserve"> (</w:t>
      </w:r>
      <w:r>
        <w:rPr>
          <w:rFonts w:eastAsia="Century Schoolbook"/>
        </w:rPr>
        <w:t>explaining how insolvency risk affects realization analysis</w:t>
      </w:r>
      <w:r w:rsidRPr="00036097">
        <w:rPr>
          <w:rFonts w:eastAsia="Century Schoolbook"/>
        </w:rPr>
        <w:t xml:space="preserve">). </w:t>
      </w:r>
    </w:p>
  </w:footnote>
  <w:footnote w:id="322">
    <w:p w14:paraId="7F33AE6C" w14:textId="50106E8A" w:rsidR="006E30B5" w:rsidRPr="009F549F" w:rsidRDefault="006E30B5">
      <w:pPr>
        <w:rPr>
          <w:rFonts w:eastAsia="Century Schoolbook"/>
        </w:rPr>
      </w:pPr>
      <w:r w:rsidRPr="009F549F">
        <w:rPr>
          <w:vertAlign w:val="superscript"/>
        </w:rPr>
        <w:footnoteRef/>
      </w:r>
      <w:r w:rsidRPr="009F549F">
        <w:rPr>
          <w:rFonts w:eastAsia="Century Schoolbook"/>
        </w:rPr>
        <w:t xml:space="preserve"> </w:t>
      </w:r>
      <w:proofErr w:type="spellStart"/>
      <w:r w:rsidRPr="009F549F">
        <w:rPr>
          <w:rFonts w:eastAsia="Century Schoolbook"/>
          <w:i/>
        </w:rPr>
        <w:t>Casale</w:t>
      </w:r>
      <w:proofErr w:type="spellEnd"/>
      <w:r w:rsidRPr="009F549F">
        <w:rPr>
          <w:rFonts w:eastAsia="Century Schoolbook"/>
        </w:rPr>
        <w:t xml:space="preserve">, 247 F.2d at 444 (“[T]here </w:t>
      </w:r>
      <w:r w:rsidRPr="00036097">
        <w:rPr>
          <w:rFonts w:eastAsia="Century Schoolbook"/>
        </w:rPr>
        <w:t>is</w:t>
      </w:r>
      <w:r w:rsidRPr="009F549F">
        <w:rPr>
          <w:rFonts w:eastAsia="Century Schoolbook"/>
        </w:rPr>
        <w:t xml:space="preserve"> no warrant for calling the benefit ‘immediate’ for at best it was only tentative.”); Eric D. </w:t>
      </w:r>
      <w:proofErr w:type="spellStart"/>
      <w:r w:rsidRPr="009F549F">
        <w:rPr>
          <w:rFonts w:eastAsia="Century Schoolbook"/>
        </w:rPr>
        <w:t>Chason</w:t>
      </w:r>
      <w:proofErr w:type="spellEnd"/>
      <w:r w:rsidRPr="009F549F">
        <w:rPr>
          <w:rFonts w:eastAsia="Century Schoolbook"/>
        </w:rPr>
        <w:t xml:space="preserve">, </w:t>
      </w:r>
      <w:r w:rsidRPr="009F549F">
        <w:rPr>
          <w:rFonts w:eastAsia="Century Schoolbook"/>
          <w:i/>
        </w:rPr>
        <w:t>Executive Compensation and Tax Neutrality: Taxing the Investment Component of Deferred Compensation</w:t>
      </w:r>
      <w:r w:rsidRPr="009F549F">
        <w:rPr>
          <w:rFonts w:eastAsia="Century Schoolbook"/>
        </w:rPr>
        <w:t xml:space="preserve">, 31 </w:t>
      </w:r>
      <w:r w:rsidRPr="009F549F">
        <w:rPr>
          <w:rFonts w:eastAsia="Century Schoolbook"/>
          <w:smallCaps/>
        </w:rPr>
        <w:t>Cardozo L. Rev</w:t>
      </w:r>
      <w:r w:rsidRPr="009F549F">
        <w:rPr>
          <w:rFonts w:eastAsia="Century Schoolbook"/>
        </w:rPr>
        <w:t>. 1667, 1687, 1689</w:t>
      </w:r>
      <w:r w:rsidRPr="00036097">
        <w:rPr>
          <w:rFonts w:eastAsia="Century Schoolbook"/>
        </w:rPr>
        <w:t>–90</w:t>
      </w:r>
      <w:r w:rsidRPr="009F549F">
        <w:rPr>
          <w:rFonts w:eastAsia="Century Schoolbook"/>
        </w:rPr>
        <w:t xml:space="preserve"> (2010); </w:t>
      </w:r>
      <w:r w:rsidRPr="009F549F">
        <w:rPr>
          <w:rFonts w:eastAsia="Century Schoolbook"/>
          <w:i/>
        </w:rPr>
        <w:t>see</w:t>
      </w:r>
      <w:r w:rsidRPr="009F549F">
        <w:rPr>
          <w:rFonts w:eastAsia="Century Schoolbook"/>
        </w:rPr>
        <w:t xml:space="preserve"> </w:t>
      </w:r>
      <w:proofErr w:type="spellStart"/>
      <w:r w:rsidRPr="009F549F">
        <w:rPr>
          <w:rFonts w:eastAsia="Century Schoolbook"/>
        </w:rPr>
        <w:t>Sproull</w:t>
      </w:r>
      <w:proofErr w:type="spellEnd"/>
      <w:r w:rsidRPr="009F549F">
        <w:rPr>
          <w:rFonts w:eastAsia="Century Schoolbook"/>
        </w:rPr>
        <w:t xml:space="preserve"> v. Comm’r, 16 T.C. 244, 247 (1951</w:t>
      </w:r>
      <w:r w:rsidRPr="007D6E99">
        <w:rPr>
          <w:rFonts w:ascii="Century Schoolbook" w:eastAsia="Century Schoolbook" w:hAnsi="Century Schoolbook" w:cs="Century Schoolbook"/>
          <w:sz w:val="20"/>
          <w:szCs w:val="20"/>
        </w:rPr>
        <w:t xml:space="preserve">), </w:t>
      </w:r>
      <w:r w:rsidRPr="007D6E99">
        <w:rPr>
          <w:rFonts w:ascii="Century Schoolbook" w:eastAsia="Century Schoolbook" w:hAnsi="Century Schoolbook" w:cs="Century Schoolbook"/>
          <w:i/>
          <w:sz w:val="20"/>
          <w:szCs w:val="20"/>
        </w:rPr>
        <w:t xml:space="preserve">aff’d per </w:t>
      </w:r>
      <w:proofErr w:type="spellStart"/>
      <w:r w:rsidRPr="007D6E99">
        <w:rPr>
          <w:rFonts w:ascii="Century Schoolbook" w:eastAsia="Century Schoolbook" w:hAnsi="Century Schoolbook" w:cs="Century Schoolbook"/>
          <w:i/>
          <w:sz w:val="20"/>
          <w:szCs w:val="20"/>
        </w:rPr>
        <w:t>curiam</w:t>
      </w:r>
      <w:proofErr w:type="spellEnd"/>
      <w:r w:rsidRPr="007D6E99">
        <w:rPr>
          <w:rFonts w:ascii="Century Schoolbook" w:eastAsia="Century Schoolbook" w:hAnsi="Century Schoolbook" w:cs="Century Schoolbook"/>
          <w:sz w:val="20"/>
          <w:szCs w:val="20"/>
        </w:rPr>
        <w:t>, 194 F.2d 541 (6th Cir. 1952</w:t>
      </w:r>
      <w:r w:rsidRPr="009F549F">
        <w:rPr>
          <w:rFonts w:eastAsia="Century Schoolbook"/>
        </w:rPr>
        <w:t xml:space="preserve">) (suggesting that </w:t>
      </w:r>
      <w:proofErr w:type="spellStart"/>
      <w:r w:rsidRPr="009F549F">
        <w:rPr>
          <w:rFonts w:eastAsia="Century Schoolbook"/>
        </w:rPr>
        <w:t>promisee</w:t>
      </w:r>
      <w:proofErr w:type="spellEnd"/>
      <w:r w:rsidRPr="009F549F">
        <w:rPr>
          <w:rFonts w:eastAsia="Century Schoolbook"/>
        </w:rPr>
        <w:t xml:space="preserve"> would not have income where there was risk funds would be returned to employer</w:t>
      </w:r>
      <w:r w:rsidRPr="00036097">
        <w:rPr>
          <w:rFonts w:eastAsia="Century Schoolbook"/>
        </w:rPr>
        <w:t xml:space="preserve">), </w:t>
      </w:r>
      <w:r w:rsidRPr="00036097">
        <w:rPr>
          <w:rFonts w:eastAsia="Century Schoolbook"/>
          <w:i/>
        </w:rPr>
        <w:t>aff’d</w:t>
      </w:r>
      <w:r w:rsidRPr="00036097">
        <w:rPr>
          <w:rFonts w:eastAsia="Century Schoolbook"/>
        </w:rPr>
        <w:t xml:space="preserve">, 194 F.2d 541 (6th Cir. 1952) (per </w:t>
      </w:r>
      <w:proofErr w:type="spellStart"/>
      <w:r w:rsidRPr="00036097">
        <w:rPr>
          <w:rFonts w:eastAsia="Century Schoolbook"/>
        </w:rPr>
        <w:t>curiam</w:t>
      </w:r>
      <w:proofErr w:type="spellEnd"/>
      <w:r w:rsidRPr="009F549F">
        <w:rPr>
          <w:rFonts w:eastAsia="Century Schoolbook"/>
        </w:rPr>
        <w:t>).</w:t>
      </w:r>
    </w:p>
  </w:footnote>
  <w:footnote w:id="323">
    <w:p w14:paraId="7CB74EF4" w14:textId="5644C9A9" w:rsidR="006E30B5" w:rsidRPr="009F549F" w:rsidRDefault="006E30B5">
      <w:pPr>
        <w:rPr>
          <w:rFonts w:eastAsia="Century Schoolbook"/>
          <w:b/>
        </w:rPr>
      </w:pPr>
      <w:r w:rsidRPr="009F549F">
        <w:rPr>
          <w:vertAlign w:val="superscript"/>
        </w:rPr>
        <w:footnoteRef/>
      </w:r>
      <w:r w:rsidRPr="009F549F">
        <w:rPr>
          <w:rFonts w:eastAsia="Century Schoolbook"/>
        </w:rPr>
        <w:t xml:space="preserve"> </w:t>
      </w:r>
      <w:r w:rsidRPr="00036097">
        <w:rPr>
          <w:rFonts w:eastAsia="Century Schoolbook"/>
        </w:rPr>
        <w:t xml:space="preserve">I.R.S. G.C.M. 39,230 (May 7, </w:t>
      </w:r>
      <w:r w:rsidRPr="009F549F">
        <w:rPr>
          <w:rFonts w:eastAsia="Century Schoolbook"/>
        </w:rPr>
        <w:t xml:space="preserve">1984); </w:t>
      </w:r>
      <w:r>
        <w:rPr>
          <w:rFonts w:eastAsia="Century Schoolbook"/>
          <w:i/>
        </w:rPr>
        <w:t>cf.</w:t>
      </w:r>
      <w:r w:rsidRPr="009F549F">
        <w:rPr>
          <w:rFonts w:eastAsia="Century Schoolbook"/>
        </w:rPr>
        <w:t xml:space="preserve"> Rev. Rul. 60-31</w:t>
      </w:r>
      <w:r w:rsidRPr="00036097">
        <w:rPr>
          <w:rFonts w:eastAsia="Century Schoolbook"/>
        </w:rPr>
        <w:t>, 1960-1 C.B. 174, 178 (</w:t>
      </w:r>
      <w:r>
        <w:rPr>
          <w:rFonts w:eastAsia="Century Schoolbook"/>
        </w:rPr>
        <w:t>"[T]</w:t>
      </w:r>
      <w:r>
        <w:rPr>
          <w:rFonts w:ascii="Source Sans Pro" w:hAnsi="Source Sans Pro"/>
          <w:color w:val="3D3D3D"/>
          <w:sz w:val="25"/>
          <w:szCs w:val="25"/>
          <w:shd w:val="clear" w:color="auto" w:fill="FFFFFF"/>
        </w:rPr>
        <w:t>he statute cannot be administered by speculating whether the payor would have been willing to agree to an earlier payment."</w:t>
      </w:r>
      <w:r w:rsidRPr="00036097">
        <w:rPr>
          <w:rFonts w:eastAsia="Century Schoolbook"/>
        </w:rPr>
        <w:t>); Carter G.</w:t>
      </w:r>
      <w:r w:rsidRPr="009F549F">
        <w:rPr>
          <w:rFonts w:eastAsia="Century Schoolbook"/>
        </w:rPr>
        <w:t xml:space="preserve"> Bishop &amp; Marian McMahon Durkin, </w:t>
      </w:r>
      <w:r w:rsidRPr="009F549F">
        <w:rPr>
          <w:rFonts w:eastAsia="Century Schoolbook"/>
          <w:i/>
        </w:rPr>
        <w:t>Nonqualified Deferred Compensation Plans: A Review and Critique</w:t>
      </w:r>
      <w:r w:rsidRPr="009F549F">
        <w:rPr>
          <w:rFonts w:eastAsia="Century Schoolbook"/>
        </w:rPr>
        <w:t xml:space="preserve">, 17 </w:t>
      </w:r>
      <w:r w:rsidRPr="009F549F">
        <w:rPr>
          <w:rFonts w:eastAsia="Century Schoolbook"/>
          <w:smallCaps/>
        </w:rPr>
        <w:t>Wm. Mitchell L. Rev</w:t>
      </w:r>
      <w:r w:rsidRPr="009F549F">
        <w:rPr>
          <w:rFonts w:eastAsia="Century Schoolbook"/>
        </w:rPr>
        <w:t>. 43, 118</w:t>
      </w:r>
      <w:r w:rsidRPr="007D6E99">
        <w:rPr>
          <w:rFonts w:ascii="Century Schoolbook" w:eastAsia="Century Schoolbook" w:hAnsi="Century Schoolbook" w:cs="Century Schoolbook"/>
          <w:sz w:val="20"/>
          <w:szCs w:val="20"/>
        </w:rPr>
        <w:t>–24</w:t>
      </w:r>
      <w:r w:rsidRPr="009F549F">
        <w:rPr>
          <w:rFonts w:eastAsia="Century Schoolbook"/>
        </w:rPr>
        <w:t xml:space="preserve"> (1981</w:t>
      </w:r>
      <w:r w:rsidRPr="00036097">
        <w:rPr>
          <w:rFonts w:eastAsia="Century Schoolbook"/>
        </w:rPr>
        <w:t>) (</w:t>
      </w:r>
      <w:r>
        <w:rPr>
          <w:rFonts w:eastAsia="Century Schoolbook"/>
        </w:rPr>
        <w:t>summarizing law and observing that "</w:t>
      </w:r>
      <w:r>
        <w:rPr>
          <w:rFonts w:ascii="Source Sans Pro" w:hAnsi="Source Sans Pro"/>
          <w:color w:val="3D3D3D"/>
          <w:sz w:val="25"/>
          <w:szCs w:val="25"/>
          <w:shd w:val="clear" w:color="auto" w:fill="FFFFFF"/>
        </w:rPr>
        <w:t>[T]ax law has not been concerned with how financially realistic it was to expect the employer's unsecured promise to pay to be performed according to its terms. All such obligations were treated the same regardless of the financial condition of the employer."</w:t>
      </w:r>
      <w:r w:rsidRPr="00036097">
        <w:rPr>
          <w:rFonts w:eastAsia="Century Schoolbook"/>
        </w:rPr>
        <w:t>).</w:t>
      </w:r>
      <w:r w:rsidRPr="009F549F">
        <w:rPr>
          <w:rFonts w:eastAsia="Century Schoolbook"/>
        </w:rPr>
        <w:t xml:space="preserve"> Michael Doran has argued, however, that many of these valuation issues are overblown. </w:t>
      </w:r>
      <w:r>
        <w:rPr>
          <w:rFonts w:eastAsia="Century Schoolbook"/>
          <w:i/>
          <w:iCs/>
        </w:rPr>
        <w:t xml:space="preserve">See </w:t>
      </w:r>
      <w:r w:rsidRPr="009F549F">
        <w:rPr>
          <w:rFonts w:eastAsia="Century Schoolbook"/>
          <w:smallCaps/>
        </w:rPr>
        <w:t>Michael Doran, Executive Compensation Reform and the Limits of Tax Policy</w:t>
      </w:r>
      <w:r w:rsidRPr="009F549F">
        <w:rPr>
          <w:rFonts w:eastAsia="Century Schoolbook"/>
          <w:i/>
        </w:rPr>
        <w:t xml:space="preserve"> </w:t>
      </w:r>
      <w:r w:rsidRPr="009F549F">
        <w:rPr>
          <w:rFonts w:eastAsia="Century Schoolbook"/>
        </w:rPr>
        <w:t>15</w:t>
      </w:r>
      <w:r w:rsidRPr="001A47C1">
        <w:rPr>
          <w:rFonts w:eastAsia="Century Schoolbook"/>
        </w:rPr>
        <w:t xml:space="preserve"> (</w:t>
      </w:r>
      <w:r w:rsidRPr="009F549F">
        <w:rPr>
          <w:rFonts w:eastAsia="Century Schoolbook"/>
        </w:rPr>
        <w:t xml:space="preserve">Urban-Brookings Tax </w:t>
      </w:r>
      <w:proofErr w:type="spellStart"/>
      <w:r w:rsidRPr="009F549F">
        <w:rPr>
          <w:rFonts w:eastAsia="Century Schoolbook"/>
        </w:rPr>
        <w:t>Pol’y</w:t>
      </w:r>
      <w:proofErr w:type="spellEnd"/>
      <w:r w:rsidRPr="009F549F">
        <w:rPr>
          <w:rFonts w:eastAsia="Century Schoolbook"/>
        </w:rPr>
        <w:t xml:space="preserve"> Ctr. </w:t>
      </w:r>
      <w:r w:rsidRPr="007D6E99">
        <w:rPr>
          <w:rFonts w:ascii="Century Schoolbook" w:eastAsia="Century Schoolbook" w:hAnsi="Century Schoolbook" w:cs="Century Schoolbook"/>
          <w:sz w:val="20"/>
          <w:szCs w:val="20"/>
        </w:rPr>
        <w:t>(</w:t>
      </w:r>
      <w:r w:rsidRPr="009F549F">
        <w:rPr>
          <w:rFonts w:eastAsia="Century Schoolbook"/>
        </w:rPr>
        <w:t>Nov. 2004</w:t>
      </w:r>
      <w:r w:rsidRPr="001A47C1">
        <w:rPr>
          <w:rFonts w:eastAsia="Century Schoolbook"/>
        </w:rPr>
        <w:t>)</w:t>
      </w:r>
      <w:r w:rsidRPr="009F549F">
        <w:rPr>
          <w:rFonts w:eastAsia="Century Schoolbook"/>
        </w:rPr>
        <w:t>.</w:t>
      </w:r>
    </w:p>
  </w:footnote>
  <w:footnote w:id="324">
    <w:p w14:paraId="1F5CF23C" w14:textId="1E64F555" w:rsidR="006E30B5" w:rsidRPr="009F549F" w:rsidRDefault="006E30B5">
      <w:pPr>
        <w:rPr>
          <w:rFonts w:eastAsia="Century Schoolbook"/>
        </w:rPr>
      </w:pPr>
      <w:r w:rsidRPr="009F549F">
        <w:rPr>
          <w:vertAlign w:val="superscript"/>
        </w:rPr>
        <w:footnoteRef/>
      </w:r>
      <w:r w:rsidRPr="009F549F">
        <w:rPr>
          <w:rFonts w:eastAsia="Century Schoolbook"/>
        </w:rPr>
        <w:t xml:space="preserve"> The firm is potentially disadvantaged if its own investment opportunities are superior to the performance of the executive’s retirement portfolio. The mirror-image ULTRA is equivalent to the government borrowing from </w:t>
      </w:r>
      <w:r>
        <w:rPr>
          <w:rFonts w:eastAsia="Century Schoolbook"/>
        </w:rPr>
        <w:t xml:space="preserve">the </w:t>
      </w:r>
      <w:r w:rsidRPr="009F549F">
        <w:rPr>
          <w:rFonts w:eastAsia="Century Schoolbook"/>
        </w:rPr>
        <w:t xml:space="preserve">employer and paying interest at the internal rate of the return of the asset subject to the ULTRA, which here is the worker’s investments, not the firm’s. </w:t>
      </w:r>
      <w:r w:rsidRPr="009F549F">
        <w:rPr>
          <w:rFonts w:eastAsia="Century Schoolbook"/>
        </w:rPr>
        <w:t>If policymakers thought this were unsatisfactory, they could instead set the firm’s deduction to be equal to the amount that would have been allowed if the deferred payment had been invested in the firm’s own stock instead of in the executive’s portfolio</w:t>
      </w:r>
      <w:r>
        <w:rPr>
          <w:rFonts w:ascii="Century Schoolbook" w:eastAsia="Century Schoolbook" w:hAnsi="Century Schoolbook" w:cs="Century Schoolbook"/>
          <w:sz w:val="20"/>
          <w:szCs w:val="20"/>
        </w:rPr>
        <w:t xml:space="preserve">. </w:t>
      </w:r>
    </w:p>
  </w:footnote>
  <w:footnote w:id="325">
    <w:p w14:paraId="4BC5AA8F" w14:textId="57C094EB" w:rsidR="006E30B5" w:rsidRPr="009F549F" w:rsidRDefault="006E30B5">
      <w:pPr>
        <w:rPr>
          <w:rFonts w:eastAsia="Century Schoolbook"/>
        </w:rPr>
      </w:pPr>
      <w:r w:rsidRPr="009F549F">
        <w:rPr>
          <w:vertAlign w:val="superscript"/>
        </w:rPr>
        <w:footnoteRef/>
      </w:r>
      <w:r w:rsidRPr="009F549F">
        <w:rPr>
          <w:rFonts w:eastAsia="Century Schoolbook"/>
        </w:rPr>
        <w:t xml:space="preserve"> </w:t>
      </w:r>
      <w:r w:rsidRPr="009F549F">
        <w:rPr>
          <w:rFonts w:eastAsia="Century Schoolbook"/>
          <w:i/>
        </w:rPr>
        <w:t>See, e.g</w:t>
      </w:r>
      <w:r w:rsidRPr="009F549F">
        <w:rPr>
          <w:rFonts w:eastAsia="Century Schoolbook"/>
        </w:rPr>
        <w:t xml:space="preserve">., Thomas W. </w:t>
      </w:r>
      <w:r w:rsidRPr="009F549F">
        <w:rPr>
          <w:rFonts w:eastAsia="Century Schoolbook"/>
        </w:rPr>
        <w:t>Bates et al</w:t>
      </w:r>
      <w:r w:rsidRPr="00036097">
        <w:rPr>
          <w:rFonts w:eastAsia="Century Schoolbook"/>
        </w:rPr>
        <w:t>.,</w:t>
      </w:r>
      <w:r w:rsidRPr="009F549F">
        <w:rPr>
          <w:rFonts w:eastAsia="Century Schoolbook"/>
        </w:rPr>
        <w:t xml:space="preserve"> </w:t>
      </w:r>
      <w:r w:rsidRPr="009F549F">
        <w:rPr>
          <w:rFonts w:eastAsia="Century Schoolbook"/>
          <w:i/>
        </w:rPr>
        <w:t>supra</w:t>
      </w:r>
      <w:r w:rsidRPr="009F549F">
        <w:rPr>
          <w:rFonts w:eastAsia="Century Schoolbook"/>
        </w:rPr>
        <w:t xml:space="preserve"> note </w:t>
      </w:r>
      <w:r w:rsidRPr="00036097">
        <w:rPr>
          <w:rFonts w:eastAsia="Century Schoolbook"/>
        </w:rPr>
        <w:fldChar w:fldCharType="begin"/>
      </w:r>
      <w:r w:rsidRPr="00036097">
        <w:rPr>
          <w:rFonts w:eastAsia="Century Schoolbook"/>
        </w:rPr>
        <w:instrText xml:space="preserve"> NOTEREF _Ref115453658 \h  \* MERGEFORMAT </w:instrText>
      </w:r>
      <w:r w:rsidRPr="00036097">
        <w:rPr>
          <w:rFonts w:eastAsia="Century Schoolbook"/>
        </w:rPr>
      </w:r>
      <w:r w:rsidRPr="00036097">
        <w:rPr>
          <w:rFonts w:eastAsia="Century Schoolbook"/>
        </w:rPr>
        <w:fldChar w:fldCharType="separate"/>
      </w:r>
      <w:r>
        <w:rPr>
          <w:rFonts w:eastAsia="Century Schoolbook"/>
        </w:rPr>
        <w:t>15</w:t>
      </w:r>
      <w:r w:rsidRPr="00036097">
        <w:rPr>
          <w:rFonts w:eastAsia="Century Schoolbook"/>
        </w:rPr>
        <w:fldChar w:fldCharType="end"/>
      </w:r>
      <w:r w:rsidRPr="00036097">
        <w:rPr>
          <w:rFonts w:eastAsia="Century Schoolbook"/>
        </w:rPr>
        <w:t>,</w:t>
      </w:r>
      <w:r w:rsidRPr="009F549F">
        <w:rPr>
          <w:rFonts w:eastAsia="Century Schoolbook"/>
        </w:rPr>
        <w:t xml:space="preserve"> at 377 (finding over </w:t>
      </w:r>
      <w:r>
        <w:rPr>
          <w:rFonts w:eastAsia="Century Schoolbook"/>
        </w:rPr>
        <w:t>14</w:t>
      </w:r>
      <w:r w:rsidRPr="00036097">
        <w:rPr>
          <w:rFonts w:eastAsia="Century Schoolbook"/>
        </w:rPr>
        <w:t xml:space="preserve"> percent of</w:t>
      </w:r>
      <w:r w:rsidRPr="009F549F">
        <w:rPr>
          <w:rFonts w:eastAsia="Century Schoolbook"/>
        </w:rPr>
        <w:t xml:space="preserve"> transactions involving private firms used an earnout out of sample of over </w:t>
      </w:r>
      <w:r>
        <w:rPr>
          <w:rFonts w:eastAsia="Century Schoolbook"/>
        </w:rPr>
        <w:t>twenty-two thousand</w:t>
      </w:r>
      <w:r w:rsidRPr="009F549F">
        <w:rPr>
          <w:rFonts w:eastAsia="Century Schoolbook"/>
        </w:rPr>
        <w:t xml:space="preserve"> transactions over 26 years).</w:t>
      </w:r>
    </w:p>
  </w:footnote>
  <w:footnote w:id="326">
    <w:p w14:paraId="4EF48688" w14:textId="33CE6DF6" w:rsidR="006E30B5" w:rsidRPr="009F549F" w:rsidRDefault="006E30B5" w:rsidP="005B7197">
      <w:pPr>
        <w:rPr>
          <w:rFonts w:eastAsia="Century Schoolbook"/>
        </w:rPr>
      </w:pPr>
      <w:r w:rsidRPr="009F549F">
        <w:rPr>
          <w:vertAlign w:val="superscript"/>
        </w:rPr>
        <w:footnoteRef/>
      </w:r>
      <w:r w:rsidRPr="009F549F">
        <w:rPr>
          <w:rFonts w:eastAsia="Century Schoolbook"/>
        </w:rPr>
        <w:t xml:space="preserve"> </w:t>
      </w:r>
      <w:r w:rsidRPr="009F549F">
        <w:rPr>
          <w:rFonts w:eastAsia="Century Schoolbook"/>
          <w:i/>
        </w:rPr>
        <w:t>See</w:t>
      </w:r>
      <w:r>
        <w:rPr>
          <w:rFonts w:eastAsia="Century Schoolbook"/>
        </w:rPr>
        <w:t xml:space="preserve"> Roberto </w:t>
      </w:r>
      <w:proofErr w:type="spellStart"/>
      <w:r>
        <w:rPr>
          <w:rFonts w:eastAsia="Century Schoolbook"/>
        </w:rPr>
        <w:t>Raggozzino</w:t>
      </w:r>
      <w:proofErr w:type="spellEnd"/>
      <w:r>
        <w:rPr>
          <w:rFonts w:eastAsia="Century Schoolbook"/>
        </w:rPr>
        <w:t xml:space="preserve"> &amp; Jeffrey J. </w:t>
      </w:r>
      <w:proofErr w:type="spellStart"/>
      <w:r>
        <w:rPr>
          <w:rFonts w:eastAsia="Century Schoolbook"/>
        </w:rPr>
        <w:t>Reuer</w:t>
      </w:r>
      <w:proofErr w:type="spellEnd"/>
      <w:r>
        <w:rPr>
          <w:rFonts w:eastAsia="Century Schoolbook"/>
        </w:rPr>
        <w:t xml:space="preserve">, </w:t>
      </w:r>
      <w:r w:rsidRPr="009F549F">
        <w:rPr>
          <w:rFonts w:eastAsia="Century Schoolbook"/>
          <w:i/>
        </w:rPr>
        <w:t>Contingent Earnouts in Acquisitions of Privately Held Targets</w:t>
      </w:r>
      <w:r>
        <w:rPr>
          <w:rFonts w:eastAsia="Century Schoolbook"/>
        </w:rPr>
        <w:t xml:space="preserve">, 35 J. </w:t>
      </w:r>
      <w:r w:rsidRPr="009F549F">
        <w:rPr>
          <w:rFonts w:eastAsia="Century Schoolbook"/>
          <w:smallCaps/>
        </w:rPr>
        <w:t>Mgmt</w:t>
      </w:r>
      <w:r>
        <w:rPr>
          <w:rFonts w:eastAsia="Century Schoolbook"/>
        </w:rPr>
        <w:t>. 857, 868–74 (2009) (examining use of earnouts in acquisitions of start-up companies).</w:t>
      </w:r>
    </w:p>
  </w:footnote>
  <w:footnote w:id="327">
    <w:p w14:paraId="15D9DD69" w14:textId="06437587" w:rsidR="006E30B5" w:rsidRPr="009F549F" w:rsidRDefault="006E30B5">
      <w:pPr>
        <w:rPr>
          <w:rFonts w:eastAsia="Century Schoolbook"/>
          <w:b/>
        </w:rPr>
      </w:pPr>
      <w:r w:rsidRPr="009F549F">
        <w:rPr>
          <w:vertAlign w:val="superscript"/>
        </w:rPr>
        <w:footnoteRef/>
      </w:r>
      <w:r w:rsidRPr="009F549F">
        <w:rPr>
          <w:rFonts w:eastAsia="Century Schoolbook"/>
        </w:rPr>
        <w:t xml:space="preserve"> </w:t>
      </w:r>
      <w:r w:rsidRPr="009F549F">
        <w:rPr>
          <w:rFonts w:eastAsia="Century Schoolbook"/>
          <w:i/>
        </w:rPr>
        <w:t>See</w:t>
      </w:r>
      <w:r>
        <w:rPr>
          <w:rFonts w:eastAsia="Century Schoolbook"/>
          <w:i/>
        </w:rPr>
        <w:t xml:space="preserve"> </w:t>
      </w:r>
      <w:r>
        <w:rPr>
          <w:rFonts w:eastAsia="Century Schoolbook"/>
          <w:highlight w:val="yellow"/>
        </w:rPr>
        <w:t xml:space="preserve">Srikant </w:t>
      </w:r>
      <w:proofErr w:type="spellStart"/>
      <w:r>
        <w:rPr>
          <w:rFonts w:eastAsia="Century Schoolbook"/>
          <w:highlight w:val="yellow"/>
        </w:rPr>
        <w:t>Datar</w:t>
      </w:r>
      <w:proofErr w:type="spellEnd"/>
      <w:r>
        <w:rPr>
          <w:rFonts w:eastAsia="Century Schoolbook"/>
          <w:highlight w:val="yellow"/>
        </w:rPr>
        <w:t xml:space="preserve">, Richard Frankel, &amp; Mark Wolfson, </w:t>
      </w:r>
      <w:r w:rsidRPr="009F549F">
        <w:rPr>
          <w:rFonts w:eastAsia="Century Schoolbook"/>
          <w:i/>
          <w:highlight w:val="yellow"/>
        </w:rPr>
        <w:t>Earnouts: The Effects of Adverse Selection and Agency Costs on Acquisition Technologies</w:t>
      </w:r>
      <w:r>
        <w:rPr>
          <w:rFonts w:eastAsia="Century Schoolbook"/>
          <w:highlight w:val="yellow"/>
        </w:rPr>
        <w:t xml:space="preserve">, 17 J.L. </w:t>
      </w:r>
      <w:r w:rsidRPr="009F549F">
        <w:rPr>
          <w:rFonts w:eastAsia="Century Schoolbook"/>
          <w:smallCaps/>
          <w:highlight w:val="yellow"/>
        </w:rPr>
        <w:t>Econ. &amp; Org.</w:t>
      </w:r>
      <w:r>
        <w:rPr>
          <w:rFonts w:eastAsia="Century Schoolbook"/>
          <w:highlight w:val="yellow"/>
        </w:rPr>
        <w:t xml:space="preserve"> 201, 202, 225–231 (2001) (summarizing prior literature and reporting new evidence on use of earnouts to overcome asymmetric information)</w:t>
      </w:r>
      <w:r w:rsidRPr="00036097">
        <w:rPr>
          <w:rFonts w:eastAsia="Century Schoolbook"/>
          <w:iCs/>
        </w:rPr>
        <w:t xml:space="preserve">. </w:t>
      </w:r>
    </w:p>
  </w:footnote>
  <w:footnote w:id="328">
    <w:p w14:paraId="620FBBFE" w14:textId="13A18E7D" w:rsidR="006E30B5" w:rsidRPr="009F549F" w:rsidRDefault="006E30B5" w:rsidP="006E30B5">
      <w:pPr>
        <w:rPr>
          <w:rFonts w:eastAsia="Century Schoolbook"/>
          <w:highlight w:val="yellow"/>
        </w:rPr>
      </w:pPr>
      <w:r w:rsidRPr="009F549F">
        <w:rPr>
          <w:vertAlign w:val="superscript"/>
        </w:rPr>
        <w:footnoteRef/>
      </w:r>
      <w:r w:rsidRPr="009F549F">
        <w:rPr>
          <w:rFonts w:eastAsia="Century Schoolbook"/>
        </w:rPr>
        <w:t xml:space="preserve"> </w:t>
      </w:r>
      <w:r w:rsidRPr="009F549F">
        <w:rPr>
          <w:rFonts w:eastAsia="Century Schoolbook"/>
          <w:i/>
        </w:rPr>
        <w:t>See, e.g</w:t>
      </w:r>
      <w:r w:rsidRPr="009F549F">
        <w:rPr>
          <w:rFonts w:eastAsia="Century Schoolbook"/>
        </w:rPr>
        <w:t>.</w:t>
      </w:r>
      <w:r w:rsidRPr="009F549F">
        <w:rPr>
          <w:rFonts w:eastAsia="Century Schoolbook"/>
        </w:rPr>
        <w:t>, Jonathan Van Loo,</w:t>
      </w:r>
      <w:r w:rsidRPr="009F549F">
        <w:rPr>
          <w:rFonts w:eastAsia="Century Schoolbook"/>
          <w:i/>
        </w:rPr>
        <w:t xml:space="preserve"> Open Transaction Treatment for Earn-outs</w:t>
      </w:r>
      <w:r w:rsidRPr="009F549F">
        <w:rPr>
          <w:rFonts w:eastAsia="Century Schoolbook"/>
        </w:rPr>
        <w:t xml:space="preserve">, 22 </w:t>
      </w:r>
      <w:r w:rsidRPr="009F549F">
        <w:rPr>
          <w:rFonts w:eastAsia="Century Schoolbook"/>
          <w:smallCaps/>
        </w:rPr>
        <w:t xml:space="preserve">M&amp;A Tax </w:t>
      </w:r>
      <w:r w:rsidRPr="00036097">
        <w:rPr>
          <w:rFonts w:eastAsia="Century Schoolbook"/>
          <w:smallCaps/>
        </w:rPr>
        <w:t>Rep.</w:t>
      </w:r>
      <w:r w:rsidRPr="009F549F">
        <w:rPr>
          <w:rFonts w:eastAsia="Century Schoolbook"/>
        </w:rPr>
        <w:t xml:space="preserve"> 1</w:t>
      </w:r>
      <w:r w:rsidR="00FD2F91">
        <w:rPr>
          <w:rFonts w:eastAsia="Century Schoolbook"/>
        </w:rPr>
        <w:t>, 8</w:t>
      </w:r>
      <w:r w:rsidRPr="009F549F">
        <w:rPr>
          <w:rFonts w:eastAsia="Century Schoolbook"/>
        </w:rPr>
        <w:t xml:space="preserve"> (2013</w:t>
      </w:r>
      <w:r w:rsidRPr="00036097">
        <w:rPr>
          <w:rFonts w:eastAsia="Century Schoolbook"/>
        </w:rPr>
        <w:t>)</w:t>
      </w:r>
      <w:r>
        <w:rPr>
          <w:rFonts w:eastAsia="Century Schoolbook"/>
        </w:rPr>
        <w:t xml:space="preserve"> </w:t>
      </w:r>
      <w:r w:rsidRPr="001D2EB4">
        <w:rPr>
          <w:rFonts w:eastAsia="Century Schoolbook"/>
          <w:highlight w:val="yellow"/>
        </w:rPr>
        <w:t>(</w:t>
      </w:r>
      <w:r>
        <w:rPr>
          <w:rFonts w:eastAsia="Century Schoolbook"/>
          <w:highlight w:val="yellow"/>
        </w:rPr>
        <w:t>Observing that “</w:t>
      </w:r>
      <w:r w:rsidR="00FD2F91">
        <w:rPr>
          <w:rFonts w:eastAsia="Century Schoolbook"/>
          <w:highlight w:val="yellow"/>
        </w:rPr>
        <w:t>[s]</w:t>
      </w:r>
      <w:r w:rsidRPr="006E30B5">
        <w:rPr>
          <w:rFonts w:eastAsia="Century Schoolbook"/>
          <w:highlight w:val="yellow"/>
        </w:rPr>
        <w:t>ales of private companies are frequently structured as earn-outs,</w:t>
      </w:r>
      <w:r>
        <w:rPr>
          <w:rFonts w:eastAsia="Century Schoolbook"/>
          <w:highlight w:val="yellow"/>
        </w:rPr>
        <w:t xml:space="preserve"> </w:t>
      </w:r>
      <w:r w:rsidRPr="006E30B5">
        <w:rPr>
          <w:rFonts w:eastAsia="Century Schoolbook"/>
          <w:highlight w:val="yellow"/>
        </w:rPr>
        <w:t>with the price contingent on future performance</w:t>
      </w:r>
      <w:r>
        <w:rPr>
          <w:rFonts w:eastAsia="Century Schoolbook"/>
          <w:highlight w:val="yellow"/>
        </w:rPr>
        <w:t xml:space="preserve">”…. </w:t>
      </w:r>
      <w:r w:rsidR="00FD2F91">
        <w:rPr>
          <w:rFonts w:eastAsia="Century Schoolbook"/>
          <w:highlight w:val="yellow"/>
        </w:rPr>
        <w:t>b</w:t>
      </w:r>
      <w:r>
        <w:rPr>
          <w:rFonts w:eastAsia="Century Schoolbook"/>
          <w:highlight w:val="yellow"/>
        </w:rPr>
        <w:t xml:space="preserve">ut a common tax treatment of </w:t>
      </w:r>
      <w:r w:rsidR="00FD2F91">
        <w:rPr>
          <w:rFonts w:eastAsia="Century Schoolbook"/>
          <w:highlight w:val="yellow"/>
        </w:rPr>
        <w:t>earn outs</w:t>
      </w:r>
      <w:r>
        <w:rPr>
          <w:rFonts w:eastAsia="Century Schoolbook"/>
          <w:highlight w:val="yellow"/>
        </w:rPr>
        <w:t xml:space="preserve"> [the installment method]</w:t>
      </w:r>
      <w:r w:rsidR="00FD2F91">
        <w:rPr>
          <w:rFonts w:eastAsia="Century Schoolbook"/>
          <w:highlight w:val="yellow"/>
        </w:rPr>
        <w:t xml:space="preserve"> “</w:t>
      </w:r>
      <w:r w:rsidR="00FD2F91" w:rsidRPr="00FD2F91">
        <w:rPr>
          <w:rFonts w:eastAsia="Century Schoolbook"/>
          <w:highlight w:val="yellow"/>
        </w:rPr>
        <w:t>include</w:t>
      </w:r>
      <w:r w:rsidR="00FD2F91">
        <w:rPr>
          <w:rFonts w:eastAsia="Century Schoolbook"/>
          <w:highlight w:val="yellow"/>
        </w:rPr>
        <w:t>[s]</w:t>
      </w:r>
      <w:r w:rsidR="00FD2F91" w:rsidRPr="00FD2F91">
        <w:rPr>
          <w:rFonts w:eastAsia="Century Schoolbook"/>
          <w:highlight w:val="yellow"/>
        </w:rPr>
        <w:t xml:space="preserve"> several unfavorable aspects</w:t>
      </w:r>
      <w:r w:rsidR="00FD2F91">
        <w:rPr>
          <w:rFonts w:eastAsia="Century Schoolbook"/>
          <w:highlight w:val="yellow"/>
        </w:rPr>
        <w:t>.”</w:t>
      </w:r>
      <w:r>
        <w:rPr>
          <w:rFonts w:eastAsia="Century Schoolbook"/>
        </w:rPr>
        <w:t>)</w:t>
      </w:r>
      <w:r w:rsidRPr="00036097">
        <w:rPr>
          <w:rFonts w:eastAsia="Century Schoolbook"/>
        </w:rPr>
        <w:t xml:space="preserve">. </w:t>
      </w:r>
    </w:p>
  </w:footnote>
  <w:footnote w:id="329">
    <w:p w14:paraId="10ABD79E" w14:textId="5FF1D52F" w:rsidR="006E30B5" w:rsidRPr="009F549F" w:rsidRDefault="006E30B5">
      <w:pPr>
        <w:rPr>
          <w:rFonts w:eastAsia="Century Schoolbook"/>
        </w:rPr>
      </w:pPr>
      <w:r w:rsidRPr="009F549F">
        <w:rPr>
          <w:vertAlign w:val="superscript"/>
        </w:rPr>
        <w:footnoteRef/>
      </w:r>
      <w:r w:rsidRPr="009F549F">
        <w:rPr>
          <w:rFonts w:eastAsia="Century Schoolbook"/>
        </w:rPr>
        <w:t xml:space="preserve"> Treas. Reg. §</w:t>
      </w:r>
      <w:r w:rsidRPr="00036097">
        <w:rPr>
          <w:rFonts w:eastAsia="Century Schoolbook"/>
        </w:rPr>
        <w:t xml:space="preserve"> </w:t>
      </w:r>
      <w:r w:rsidRPr="009F549F">
        <w:rPr>
          <w:rFonts w:eastAsia="Century Schoolbook"/>
        </w:rPr>
        <w:t>15a.453-1(c)(1</w:t>
      </w:r>
      <w:r w:rsidRPr="00036097">
        <w:rPr>
          <w:rFonts w:eastAsia="Century Schoolbook"/>
        </w:rPr>
        <w:t>) (as amended in 1994</w:t>
      </w:r>
      <w:r w:rsidRPr="009F549F">
        <w:rPr>
          <w:rFonts w:eastAsia="Century Schoolbook"/>
        </w:rPr>
        <w:t>).</w:t>
      </w:r>
    </w:p>
  </w:footnote>
  <w:footnote w:id="330">
    <w:p w14:paraId="2B7B81CC" w14:textId="37E4002B" w:rsidR="006E30B5" w:rsidRPr="009F549F" w:rsidRDefault="006E30B5">
      <w:pPr>
        <w:rPr>
          <w:rFonts w:eastAsia="Century Schoolbook"/>
        </w:rPr>
      </w:pPr>
      <w:r w:rsidRPr="009F549F">
        <w:rPr>
          <w:vertAlign w:val="superscript"/>
        </w:rPr>
        <w:footnoteRef/>
      </w:r>
      <w:r w:rsidRPr="009F549F">
        <w:rPr>
          <w:rFonts w:eastAsia="Century Schoolbook"/>
        </w:rPr>
        <w:t xml:space="preserve"> For example, if the deal sets a range of payouts with a maximum price, then interim tax payments are calculated as if the asset were sold at the maximum. Treas. Reg. </w:t>
      </w:r>
      <w:r w:rsidRPr="009F549F">
        <w:rPr>
          <w:rFonts w:eastAsia="Century Schoolbook"/>
        </w:rPr>
        <w:t>§</w:t>
      </w:r>
      <w:r w:rsidRPr="00036097">
        <w:rPr>
          <w:rFonts w:eastAsia="Century Schoolbook"/>
        </w:rPr>
        <w:t xml:space="preserve"> </w:t>
      </w:r>
      <w:r w:rsidRPr="009F549F">
        <w:rPr>
          <w:rFonts w:eastAsia="Century Schoolbook"/>
        </w:rPr>
        <w:t>15a.453-1(c)(2)(</w:t>
      </w:r>
      <w:proofErr w:type="spellStart"/>
      <w:r w:rsidRPr="009F549F">
        <w:rPr>
          <w:rFonts w:eastAsia="Century Schoolbook"/>
        </w:rPr>
        <w:t>i</w:t>
      </w:r>
      <w:proofErr w:type="spellEnd"/>
      <w:r w:rsidRPr="009F549F">
        <w:rPr>
          <w:rFonts w:eastAsia="Century Schoolbook"/>
        </w:rPr>
        <w:t>)(A</w:t>
      </w:r>
      <w:r w:rsidRPr="00036097">
        <w:rPr>
          <w:rFonts w:eastAsia="Century Schoolbook"/>
        </w:rPr>
        <w:t>) (as amended in 1994).</w:t>
      </w:r>
      <w:r w:rsidRPr="009F549F">
        <w:rPr>
          <w:rFonts w:eastAsia="Century Schoolbook"/>
        </w:rPr>
        <w:t xml:space="preserve"> In some cases</w:t>
      </w:r>
      <w:r w:rsidRPr="00036097">
        <w:rPr>
          <w:rFonts w:eastAsia="Century Schoolbook"/>
        </w:rPr>
        <w:t>,</w:t>
      </w:r>
      <w:r w:rsidRPr="009F549F">
        <w:rPr>
          <w:rFonts w:eastAsia="Century Schoolbook"/>
        </w:rPr>
        <w:t xml:space="preserve"> if there is no set time period for payments, </w:t>
      </w:r>
      <w:r w:rsidRPr="00036097">
        <w:rPr>
          <w:rFonts w:eastAsia="Century Schoolbook"/>
        </w:rPr>
        <w:t xml:space="preserve">the </w:t>
      </w:r>
      <w:r w:rsidRPr="009F549F">
        <w:rPr>
          <w:rFonts w:eastAsia="Century Schoolbook"/>
        </w:rPr>
        <w:t>seller may have to recover their basis over the next fifteen years. Treas. Reg. §</w:t>
      </w:r>
      <w:r w:rsidRPr="00036097">
        <w:rPr>
          <w:rFonts w:eastAsia="Century Schoolbook"/>
        </w:rPr>
        <w:t xml:space="preserve"> </w:t>
      </w:r>
      <w:r w:rsidRPr="009F549F">
        <w:rPr>
          <w:rFonts w:eastAsia="Century Schoolbook"/>
        </w:rPr>
        <w:t>15a.453-1(c)(4</w:t>
      </w:r>
      <w:r w:rsidRPr="00036097">
        <w:rPr>
          <w:rFonts w:eastAsia="Century Schoolbook"/>
        </w:rPr>
        <w:t>) (as amended in 1994</w:t>
      </w:r>
      <w:r w:rsidRPr="009F549F">
        <w:rPr>
          <w:rFonts w:eastAsia="Century Schoolbook"/>
        </w:rPr>
        <w:t>).</w:t>
      </w:r>
    </w:p>
  </w:footnote>
  <w:footnote w:id="331">
    <w:p w14:paraId="3C2F27D5" w14:textId="25881127" w:rsidR="006E30B5" w:rsidRPr="009F549F" w:rsidRDefault="006E30B5">
      <w:pPr>
        <w:rPr>
          <w:rFonts w:eastAsia="Century Schoolbook"/>
        </w:rPr>
      </w:pPr>
      <w:r w:rsidRPr="009F549F">
        <w:rPr>
          <w:vertAlign w:val="superscript"/>
        </w:rPr>
        <w:footnoteRef/>
      </w:r>
      <w:r w:rsidRPr="009F549F">
        <w:rPr>
          <w:rFonts w:eastAsia="Century Schoolbook"/>
        </w:rPr>
        <w:t xml:space="preserve"> </w:t>
      </w:r>
      <w:r w:rsidRPr="009F549F">
        <w:rPr>
          <w:rFonts w:eastAsia="Century Schoolbook"/>
          <w:i/>
        </w:rPr>
        <w:t>See</w:t>
      </w:r>
      <w:r w:rsidRPr="009F549F">
        <w:rPr>
          <w:rFonts w:eastAsia="Century Schoolbook"/>
        </w:rPr>
        <w:t xml:space="preserve"> Raskolnikov, </w:t>
      </w:r>
      <w:r w:rsidRPr="009F549F">
        <w:rPr>
          <w:rFonts w:eastAsia="Century Schoolbook"/>
          <w:i/>
        </w:rPr>
        <w:t>supra</w:t>
      </w:r>
      <w:r w:rsidRPr="009F549F">
        <w:rPr>
          <w:rFonts w:eastAsia="Century Schoolbook"/>
        </w:rPr>
        <w:t xml:space="preserve"> note </w:t>
      </w:r>
      <w:r w:rsidRPr="00036097">
        <w:rPr>
          <w:rFonts w:eastAsia="Century Schoolbook"/>
        </w:rPr>
        <w:fldChar w:fldCharType="begin"/>
      </w:r>
      <w:r w:rsidRPr="00036097">
        <w:rPr>
          <w:rFonts w:eastAsia="Century Schoolbook"/>
        </w:rPr>
        <w:instrText xml:space="preserve"> NOTEREF _Ref115458196 \h  \* MERGEFORMAT </w:instrText>
      </w:r>
      <w:r w:rsidRPr="00036097">
        <w:rPr>
          <w:rFonts w:eastAsia="Century Schoolbook"/>
        </w:rPr>
      </w:r>
      <w:r w:rsidRPr="00036097">
        <w:rPr>
          <w:rFonts w:eastAsia="Century Schoolbook"/>
        </w:rPr>
        <w:fldChar w:fldCharType="separate"/>
      </w:r>
      <w:r>
        <w:rPr>
          <w:rFonts w:eastAsia="Century Schoolbook"/>
        </w:rPr>
        <w:t>73</w:t>
      </w:r>
      <w:r w:rsidRPr="00036097">
        <w:rPr>
          <w:rFonts w:eastAsia="Century Schoolbook"/>
        </w:rPr>
        <w:fldChar w:fldCharType="end"/>
      </w:r>
      <w:r w:rsidRPr="00036097">
        <w:rPr>
          <w:rFonts w:eastAsia="Century Schoolbook"/>
        </w:rPr>
        <w:t>,</w:t>
      </w:r>
      <w:r w:rsidRPr="009F549F">
        <w:rPr>
          <w:rFonts w:eastAsia="Century Schoolbook"/>
        </w:rPr>
        <w:t xml:space="preserve"> at 508–14</w:t>
      </w:r>
      <w:r w:rsidRPr="00036097">
        <w:rPr>
          <w:rFonts w:eastAsia="Century Schoolbook"/>
        </w:rPr>
        <w:t xml:space="preserve"> (</w:t>
      </w:r>
      <w:r>
        <w:rPr>
          <w:rFonts w:eastAsia="Century Schoolbook"/>
        </w:rPr>
        <w:t>summarizing cases</w:t>
      </w:r>
      <w:r w:rsidRPr="00036097">
        <w:rPr>
          <w:rFonts w:eastAsia="Century Schoolbook"/>
        </w:rPr>
        <w:t>).</w:t>
      </w:r>
      <w:r w:rsidRPr="009F549F">
        <w:rPr>
          <w:rFonts w:eastAsia="Century Schoolbook"/>
        </w:rPr>
        <w:t xml:space="preserve"> </w:t>
      </w:r>
    </w:p>
  </w:footnote>
  <w:footnote w:id="332">
    <w:p w14:paraId="7817DD1C" w14:textId="77777777" w:rsidR="006E30B5" w:rsidRPr="009F549F" w:rsidRDefault="006E30B5">
      <w:pPr>
        <w:rPr>
          <w:rFonts w:eastAsia="Century Schoolbook"/>
        </w:rPr>
      </w:pPr>
      <w:r w:rsidRPr="009F549F">
        <w:rPr>
          <w:vertAlign w:val="superscript"/>
        </w:rPr>
        <w:footnoteRef/>
      </w:r>
      <w:r w:rsidRPr="009F549F">
        <w:rPr>
          <w:rFonts w:eastAsia="Century Schoolbook"/>
        </w:rPr>
        <w:t xml:space="preserve"> Hence, if a taxpayer opts out of the installment method:</w:t>
      </w:r>
    </w:p>
    <w:p w14:paraId="468A66FE" w14:textId="77777777" w:rsidR="006E30B5" w:rsidRPr="009F549F" w:rsidRDefault="006E30B5" w:rsidP="009F549F">
      <w:pPr>
        <w:ind w:left="720" w:right="720"/>
        <w:jc w:val="both"/>
        <w:rPr>
          <w:rFonts w:eastAsia="Century Schoolbook"/>
        </w:rPr>
      </w:pPr>
      <w:r w:rsidRPr="009F549F">
        <w:rPr>
          <w:rFonts w:eastAsia="Century Schoolbook"/>
        </w:rPr>
        <w:t>The fair market value of a contingent payment obligation shall be determined by disregarding any restrictions on transfer imposed by agreement or under local law. The fair market value of a contingent payment obligation may be ascertained from, and in no event shall be considered to be less than, the fair market value of the property sold (less the amount of any other consideration received in the sale).</w:t>
      </w:r>
    </w:p>
    <w:p w14:paraId="469E06CC" w14:textId="7A4534A5" w:rsidR="006E30B5" w:rsidRPr="009F549F" w:rsidRDefault="006E30B5">
      <w:pPr>
        <w:rPr>
          <w:rFonts w:eastAsia="Century Schoolbook"/>
        </w:rPr>
      </w:pPr>
      <w:r w:rsidRPr="009F549F">
        <w:rPr>
          <w:rFonts w:eastAsia="Century Schoolbook"/>
        </w:rPr>
        <w:t>Treas. Reg. § 15a.453-1(d)(2)(iii</w:t>
      </w:r>
      <w:r w:rsidRPr="00036097">
        <w:rPr>
          <w:rFonts w:eastAsia="Century Schoolbook"/>
        </w:rPr>
        <w:t>) (as amended in 1994</w:t>
      </w:r>
      <w:r w:rsidRPr="009F549F">
        <w:rPr>
          <w:rFonts w:eastAsia="Century Schoolbook"/>
        </w:rPr>
        <w:t>).</w:t>
      </w:r>
    </w:p>
  </w:footnote>
  <w:footnote w:id="333">
    <w:p w14:paraId="3777A8DC" w14:textId="77777777" w:rsidR="006E30B5" w:rsidRPr="009F549F" w:rsidRDefault="006E30B5">
      <w:pPr>
        <w:rPr>
          <w:rFonts w:eastAsia="Century Schoolbook"/>
        </w:rPr>
      </w:pPr>
      <w:r w:rsidRPr="009F549F">
        <w:rPr>
          <w:vertAlign w:val="superscript"/>
        </w:rPr>
        <w:footnoteRef/>
      </w:r>
      <w:r w:rsidRPr="009F549F">
        <w:rPr>
          <w:rFonts w:eastAsia="Century Schoolbook"/>
        </w:rPr>
        <w:t xml:space="preserve"> </w:t>
      </w:r>
      <w:r w:rsidRPr="009F549F">
        <w:rPr>
          <w:rFonts w:eastAsia="Century Schoolbook"/>
          <w:highlight w:val="white"/>
        </w:rPr>
        <w:t xml:space="preserve">Daniel </w:t>
      </w:r>
      <w:proofErr w:type="spellStart"/>
      <w:r w:rsidRPr="009F549F">
        <w:rPr>
          <w:rFonts w:eastAsia="Century Schoolbook"/>
          <w:highlight w:val="white"/>
        </w:rPr>
        <w:t>Shaviro</w:t>
      </w:r>
      <w:proofErr w:type="spellEnd"/>
      <w:r w:rsidRPr="009F549F">
        <w:rPr>
          <w:rFonts w:eastAsia="Century Schoolbook"/>
          <w:highlight w:val="white"/>
        </w:rPr>
        <w:t xml:space="preserve">, </w:t>
      </w:r>
      <w:r w:rsidRPr="009F549F">
        <w:rPr>
          <w:rFonts w:eastAsia="Century Schoolbook"/>
          <w:i/>
          <w:highlight w:val="white"/>
        </w:rPr>
        <w:t>Risk-Based Rules and the Taxation of Capital Income</w:t>
      </w:r>
      <w:r w:rsidRPr="009F549F">
        <w:rPr>
          <w:rFonts w:eastAsia="Century Schoolbook"/>
          <w:highlight w:val="white"/>
        </w:rPr>
        <w:t xml:space="preserve">, 50 </w:t>
      </w:r>
      <w:r w:rsidRPr="009F549F">
        <w:rPr>
          <w:rFonts w:eastAsia="Century Schoolbook"/>
          <w:smallCaps/>
          <w:highlight w:val="white"/>
        </w:rPr>
        <w:t>Tax L. Rev</w:t>
      </w:r>
      <w:r w:rsidRPr="009F549F">
        <w:rPr>
          <w:rFonts w:eastAsia="Century Schoolbook"/>
          <w:highlight w:val="white"/>
        </w:rPr>
        <w:t>. 643, 679 (1995).</w:t>
      </w:r>
    </w:p>
  </w:footnote>
  <w:footnote w:id="334">
    <w:p w14:paraId="0495D738" w14:textId="77777777" w:rsidR="006E30B5" w:rsidRPr="009F549F" w:rsidRDefault="006E30B5">
      <w:pPr>
        <w:rPr>
          <w:rFonts w:eastAsia="Century Schoolbook"/>
        </w:rPr>
      </w:pPr>
      <w:r w:rsidRPr="009F549F">
        <w:rPr>
          <w:vertAlign w:val="superscript"/>
        </w:rPr>
        <w:footnoteRef/>
      </w:r>
      <w:r w:rsidRPr="009F549F">
        <w:rPr>
          <w:rFonts w:eastAsia="Century Schoolbook"/>
        </w:rPr>
        <w:t xml:space="preserve"> </w:t>
      </w:r>
      <w:proofErr w:type="spellStart"/>
      <w:r w:rsidRPr="009F549F">
        <w:rPr>
          <w:rFonts w:eastAsia="Century Schoolbook"/>
        </w:rPr>
        <w:t>Kwall</w:t>
      </w:r>
      <w:proofErr w:type="spellEnd"/>
      <w:r w:rsidRPr="009F549F">
        <w:rPr>
          <w:rFonts w:eastAsia="Century Schoolbook"/>
        </w:rPr>
        <w:t xml:space="preserve"> proposed a similar solution as to open transactions. Jeffrey L. </w:t>
      </w:r>
      <w:proofErr w:type="spellStart"/>
      <w:r w:rsidRPr="009F549F">
        <w:rPr>
          <w:rFonts w:eastAsia="Century Schoolbook"/>
        </w:rPr>
        <w:t>Kwall</w:t>
      </w:r>
      <w:proofErr w:type="spellEnd"/>
      <w:r w:rsidRPr="009F549F">
        <w:rPr>
          <w:rFonts w:eastAsia="Century Schoolbook"/>
        </w:rPr>
        <w:t xml:space="preserve">, </w:t>
      </w:r>
      <w:r w:rsidRPr="009F549F">
        <w:rPr>
          <w:rFonts w:eastAsia="Century Schoolbook"/>
          <w:i/>
        </w:rPr>
        <w:t>Out with the Open-Transaction Doctrine: A New Theory for Taxing Contingent Payment Sales</w:t>
      </w:r>
      <w:r w:rsidRPr="009F549F">
        <w:rPr>
          <w:rFonts w:eastAsia="Century Schoolbook"/>
        </w:rPr>
        <w:t xml:space="preserve">, 81 </w:t>
      </w:r>
      <w:r w:rsidRPr="009F549F">
        <w:rPr>
          <w:rFonts w:eastAsia="Century Schoolbook"/>
          <w:smallCaps/>
        </w:rPr>
        <w:t>N.C. L. Rev</w:t>
      </w:r>
      <w:r w:rsidRPr="009F549F">
        <w:rPr>
          <w:rFonts w:eastAsia="Century Schoolbook"/>
        </w:rPr>
        <w:t>. 977, 1012 (2003) (“[T]he seller should be viewed as retaining a proprietary interest in the transferred business in the form of the right to contingent payments.”).</w:t>
      </w:r>
    </w:p>
  </w:footnote>
  <w:footnote w:id="335">
    <w:p w14:paraId="036E23EA" w14:textId="4D7BDCE3" w:rsidR="006E30B5" w:rsidRPr="009F549F" w:rsidRDefault="006E30B5">
      <w:pPr>
        <w:rPr>
          <w:rFonts w:eastAsia="Century Schoolbook"/>
          <w:b/>
        </w:rPr>
      </w:pPr>
      <w:r w:rsidRPr="009F549F">
        <w:rPr>
          <w:vertAlign w:val="superscript"/>
        </w:rPr>
        <w:footnoteRef/>
      </w:r>
      <w:r w:rsidRPr="00036097">
        <w:rPr>
          <w:rFonts w:eastAsia="Century Schoolbook"/>
        </w:rPr>
        <w:t xml:space="preserve"> </w:t>
      </w:r>
      <w:r w:rsidRPr="001D2EB4">
        <w:rPr>
          <w:rFonts w:eastAsia="Century Schoolbook"/>
          <w:smallCaps/>
        </w:rPr>
        <w:t>I.R.S.,</w:t>
      </w:r>
      <w:r w:rsidRPr="009F549F">
        <w:rPr>
          <w:rFonts w:eastAsia="Century Schoolbook"/>
          <w:smallCaps/>
        </w:rPr>
        <w:t xml:space="preserve"> Instructions for Form 8283</w:t>
      </w:r>
      <w:r w:rsidRPr="00036097">
        <w:rPr>
          <w:rFonts w:eastAsia="Century Schoolbook"/>
          <w:iCs/>
        </w:rPr>
        <w:t xml:space="preserve"> (Dec. 2021)</w:t>
      </w:r>
      <w:r w:rsidRPr="00036097">
        <w:rPr>
          <w:rFonts w:eastAsia="Century Schoolbook"/>
        </w:rPr>
        <w:t>,</w:t>
      </w:r>
      <w:r w:rsidRPr="009F549F">
        <w:rPr>
          <w:rFonts w:eastAsia="Century Schoolbook"/>
        </w:rPr>
        <w:t xml:space="preserve"> https://www.irs.gov/</w:t>
      </w:r>
      <w:r>
        <w:rPr>
          <w:rFonts w:eastAsia="Century Schoolbook"/>
        </w:rPr>
        <w:br/>
      </w:r>
      <w:r w:rsidRPr="009F549F">
        <w:rPr>
          <w:rFonts w:eastAsia="Century Schoolbook"/>
        </w:rPr>
        <w:t>pub/</w:t>
      </w:r>
      <w:proofErr w:type="spellStart"/>
      <w:r w:rsidRPr="009F549F">
        <w:rPr>
          <w:rFonts w:eastAsia="Century Schoolbook"/>
        </w:rPr>
        <w:t>irs</w:t>
      </w:r>
      <w:proofErr w:type="spellEnd"/>
      <w:r w:rsidRPr="009F549F">
        <w:rPr>
          <w:rFonts w:eastAsia="Century Schoolbook"/>
        </w:rPr>
        <w:t>-pdf/i8283.pdf</w:t>
      </w:r>
      <w:r w:rsidRPr="00036097">
        <w:rPr>
          <w:rFonts w:eastAsia="Century Schoolbook"/>
        </w:rPr>
        <w:t xml:space="preserve"> [https://perma.cc/83QY-A46P]. </w:t>
      </w:r>
    </w:p>
  </w:footnote>
  <w:footnote w:id="336">
    <w:p w14:paraId="33646DB3" w14:textId="5E14C91B" w:rsidR="006E30B5" w:rsidRPr="009F549F" w:rsidRDefault="006E30B5">
      <w:pPr>
        <w:rPr>
          <w:rFonts w:eastAsia="Century Schoolbook"/>
        </w:rPr>
      </w:pPr>
      <w:r w:rsidRPr="009F549F">
        <w:rPr>
          <w:vertAlign w:val="superscript"/>
        </w:rPr>
        <w:footnoteRef/>
      </w:r>
      <w:r w:rsidRPr="009F549F">
        <w:rPr>
          <w:rFonts w:eastAsia="Century Schoolbook"/>
        </w:rPr>
        <w:t xml:space="preserve"> Nancy A. </w:t>
      </w:r>
      <w:r w:rsidRPr="009F549F">
        <w:rPr>
          <w:rFonts w:eastAsia="Century Schoolbook"/>
        </w:rPr>
        <w:t xml:space="preserve">McLaughlin, </w:t>
      </w:r>
      <w:r w:rsidRPr="009F549F">
        <w:rPr>
          <w:rFonts w:eastAsia="Century Schoolbook"/>
          <w:i/>
        </w:rPr>
        <w:t>Increasing the Tax Incentives for Conservation Easement Donations</w:t>
      </w:r>
      <w:r w:rsidRPr="00036097">
        <w:rPr>
          <w:rFonts w:eastAsia="Century Schoolbook"/>
          <w:i/>
        </w:rPr>
        <w:t>—</w:t>
      </w:r>
      <w:r w:rsidRPr="009F549F">
        <w:rPr>
          <w:rFonts w:eastAsia="Century Schoolbook"/>
          <w:i/>
        </w:rPr>
        <w:t>A Responsible Approach</w:t>
      </w:r>
      <w:r w:rsidRPr="009F549F">
        <w:rPr>
          <w:rFonts w:eastAsia="Century Schoolbook"/>
        </w:rPr>
        <w:t xml:space="preserve">, 31 </w:t>
      </w:r>
      <w:r w:rsidRPr="009F549F">
        <w:rPr>
          <w:rFonts w:eastAsia="Century Schoolbook"/>
          <w:smallCaps/>
        </w:rPr>
        <w:t>Ecology</w:t>
      </w:r>
      <w:r w:rsidRPr="009F549F">
        <w:rPr>
          <w:rFonts w:eastAsia="Century Schoolbook"/>
        </w:rPr>
        <w:t xml:space="preserve"> L.Q. 1, </w:t>
      </w:r>
      <w:r w:rsidRPr="00036097">
        <w:rPr>
          <w:rFonts w:eastAsia="Century Schoolbook"/>
        </w:rPr>
        <w:t>4</w:t>
      </w:r>
      <w:r w:rsidRPr="009F549F">
        <w:rPr>
          <w:rFonts w:eastAsia="Century Schoolbook"/>
        </w:rPr>
        <w:t xml:space="preserve"> (2003).</w:t>
      </w:r>
    </w:p>
  </w:footnote>
  <w:footnote w:id="337">
    <w:p w14:paraId="2ED12D84" w14:textId="7C21A0D7" w:rsidR="006E30B5" w:rsidRPr="009F549F" w:rsidRDefault="006E30B5">
      <w:pPr>
        <w:rPr>
          <w:rFonts w:eastAsia="Century Schoolbook"/>
        </w:rPr>
      </w:pPr>
      <w:r w:rsidRPr="009F549F">
        <w:rPr>
          <w:vertAlign w:val="superscript"/>
        </w:rPr>
        <w:footnoteRef/>
      </w:r>
      <w:r w:rsidRPr="009F549F">
        <w:rPr>
          <w:rFonts w:eastAsia="Century Schoolbook"/>
        </w:rPr>
        <w:t xml:space="preserve"> </w:t>
      </w:r>
      <w:r w:rsidRPr="009F549F">
        <w:rPr>
          <w:rFonts w:eastAsia="Century Schoolbook"/>
          <w:i/>
        </w:rPr>
        <w:t>Id.</w:t>
      </w:r>
      <w:r w:rsidRPr="009F549F">
        <w:rPr>
          <w:rFonts w:eastAsia="Century Schoolbook"/>
        </w:rPr>
        <w:t xml:space="preserve"> at </w:t>
      </w:r>
      <w:r w:rsidRPr="00036097">
        <w:rPr>
          <w:rFonts w:eastAsia="Century Schoolbook"/>
        </w:rPr>
        <w:t>3–</w:t>
      </w:r>
      <w:r w:rsidRPr="009F549F">
        <w:rPr>
          <w:rFonts w:eastAsia="Century Schoolbook"/>
        </w:rPr>
        <w:t xml:space="preserve">4. </w:t>
      </w:r>
    </w:p>
  </w:footnote>
  <w:footnote w:id="338">
    <w:p w14:paraId="29CBF15A" w14:textId="77777777" w:rsidR="006E30B5" w:rsidRPr="009F549F" w:rsidRDefault="006E30B5">
      <w:pPr>
        <w:rPr>
          <w:rFonts w:eastAsia="Century Schoolbook"/>
        </w:rPr>
      </w:pPr>
      <w:r w:rsidRPr="009F549F">
        <w:rPr>
          <w:vertAlign w:val="superscript"/>
        </w:rPr>
        <w:footnoteRef/>
      </w:r>
      <w:r w:rsidRPr="009F549F">
        <w:rPr>
          <w:rFonts w:eastAsia="Century Schoolbook"/>
        </w:rPr>
        <w:t xml:space="preserve"> Roger </w:t>
      </w:r>
      <w:proofErr w:type="spellStart"/>
      <w:r w:rsidRPr="009F549F">
        <w:rPr>
          <w:rFonts w:eastAsia="Century Schoolbook"/>
        </w:rPr>
        <w:t>Colinvaux</w:t>
      </w:r>
      <w:proofErr w:type="spellEnd"/>
      <w:r w:rsidRPr="009F549F">
        <w:rPr>
          <w:rFonts w:eastAsia="Century Schoolbook"/>
        </w:rPr>
        <w:t xml:space="preserve">, </w:t>
      </w:r>
      <w:r w:rsidRPr="009F549F">
        <w:rPr>
          <w:rFonts w:eastAsia="Century Schoolbook"/>
          <w:i/>
        </w:rPr>
        <w:t>Conservation Easements: Design Flaws, Enforcement Challenges, and Reform</w:t>
      </w:r>
      <w:r w:rsidRPr="009F549F">
        <w:rPr>
          <w:rFonts w:eastAsia="Century Schoolbook"/>
        </w:rPr>
        <w:t xml:space="preserve">, 2013 </w:t>
      </w:r>
      <w:r w:rsidRPr="009F549F">
        <w:rPr>
          <w:rFonts w:eastAsia="Century Schoolbook"/>
          <w:smallCaps/>
        </w:rPr>
        <w:t>Utah L. Rev</w:t>
      </w:r>
      <w:r w:rsidRPr="009F549F">
        <w:rPr>
          <w:rFonts w:eastAsia="Century Schoolbook"/>
        </w:rPr>
        <w:t>. 755, 759–60 (2013).</w:t>
      </w:r>
    </w:p>
  </w:footnote>
  <w:footnote w:id="339">
    <w:p w14:paraId="0FF6DFB7" w14:textId="0337AABC" w:rsidR="006E30B5" w:rsidRPr="009F549F" w:rsidRDefault="006E30B5">
      <w:pPr>
        <w:rPr>
          <w:rFonts w:eastAsia="Century Schoolbook"/>
          <w:b/>
        </w:rPr>
      </w:pPr>
      <w:r w:rsidRPr="009F549F">
        <w:rPr>
          <w:vertAlign w:val="superscript"/>
        </w:rPr>
        <w:footnoteRef/>
      </w:r>
      <w:r w:rsidRPr="009F549F">
        <w:rPr>
          <w:rFonts w:eastAsia="Century Schoolbook"/>
        </w:rPr>
        <w:t xml:space="preserve"> </w:t>
      </w:r>
      <w:r w:rsidRPr="009F549F">
        <w:rPr>
          <w:rFonts w:eastAsia="Century Schoolbook"/>
          <w:i/>
        </w:rPr>
        <w:t>See</w:t>
      </w:r>
      <w:r w:rsidRPr="009F549F">
        <w:rPr>
          <w:rFonts w:eastAsia="Century Schoolbook"/>
        </w:rPr>
        <w:t xml:space="preserve"> </w:t>
      </w:r>
      <w:r w:rsidRPr="009F549F">
        <w:rPr>
          <w:rFonts w:eastAsia="Century Schoolbook"/>
          <w:i/>
          <w:highlight w:val="white"/>
        </w:rPr>
        <w:t xml:space="preserve">Miscellaneous Tax Bills: Hearing </w:t>
      </w:r>
      <w:r w:rsidRPr="007D6E99">
        <w:rPr>
          <w:rFonts w:ascii="Century Schoolbook" w:eastAsia="Century Schoolbook" w:hAnsi="Century Schoolbook" w:cs="Century Schoolbook"/>
          <w:sz w:val="20"/>
          <w:szCs w:val="20"/>
          <w:highlight w:val="white"/>
        </w:rPr>
        <w:t xml:space="preserve">on H.R. 4611 </w:t>
      </w:r>
      <w:r w:rsidRPr="009F549F">
        <w:rPr>
          <w:rFonts w:eastAsia="Century Schoolbook"/>
          <w:i/>
          <w:highlight w:val="white"/>
        </w:rPr>
        <w:t xml:space="preserve">Before the </w:t>
      </w:r>
      <w:proofErr w:type="spellStart"/>
      <w:r w:rsidRPr="009F549F">
        <w:rPr>
          <w:rFonts w:eastAsia="Century Schoolbook"/>
          <w:i/>
          <w:highlight w:val="white"/>
        </w:rPr>
        <w:t>Subcomm</w:t>
      </w:r>
      <w:proofErr w:type="spellEnd"/>
      <w:r w:rsidRPr="009F549F">
        <w:rPr>
          <w:rFonts w:eastAsia="Century Schoolbook"/>
          <w:i/>
          <w:highlight w:val="white"/>
        </w:rPr>
        <w:t xml:space="preserve">. on Select Revenue Measures of the </w:t>
      </w:r>
      <w:r w:rsidRPr="007D6E99">
        <w:rPr>
          <w:rFonts w:ascii="Century Schoolbook" w:eastAsia="Century Schoolbook" w:hAnsi="Century Schoolbook" w:cs="Century Schoolbook"/>
          <w:sz w:val="20"/>
          <w:szCs w:val="20"/>
          <w:highlight w:val="white"/>
        </w:rPr>
        <w:t xml:space="preserve">House </w:t>
      </w:r>
      <w:r w:rsidRPr="009F549F">
        <w:rPr>
          <w:rFonts w:eastAsia="Century Schoolbook"/>
          <w:i/>
          <w:highlight w:val="white"/>
        </w:rPr>
        <w:t xml:space="preserve">Comm. on Ways and Means, </w:t>
      </w:r>
      <w:r w:rsidRPr="00036097">
        <w:rPr>
          <w:rFonts w:eastAsia="Century Schoolbook"/>
          <w:i/>
          <w:iCs/>
          <w:highlight w:val="white"/>
        </w:rPr>
        <w:t>H.R.</w:t>
      </w:r>
      <w:r w:rsidRPr="00036097">
        <w:rPr>
          <w:rFonts w:eastAsia="Century Schoolbook"/>
          <w:highlight w:val="white"/>
        </w:rPr>
        <w:t xml:space="preserve">, </w:t>
      </w:r>
      <w:r w:rsidRPr="009F549F">
        <w:rPr>
          <w:rFonts w:eastAsia="Century Schoolbook"/>
          <w:highlight w:val="white"/>
        </w:rPr>
        <w:t xml:space="preserve">96th Cong. 12 (1979) (statement of Daniel I. </w:t>
      </w:r>
      <w:r w:rsidRPr="009F549F">
        <w:rPr>
          <w:rFonts w:eastAsia="Century Schoolbook"/>
          <w:highlight w:val="white"/>
        </w:rPr>
        <w:t xml:space="preserve">Halperin, Deputy Assistant </w:t>
      </w:r>
      <w:r w:rsidRPr="00036097">
        <w:rPr>
          <w:rFonts w:eastAsia="Century Schoolbook"/>
          <w:highlight w:val="white"/>
        </w:rPr>
        <w:t>Sec’y</w:t>
      </w:r>
      <w:r w:rsidRPr="009F549F">
        <w:rPr>
          <w:rFonts w:eastAsia="Century Schoolbook"/>
          <w:highlight w:val="white"/>
        </w:rPr>
        <w:t xml:space="preserve">, Treasury </w:t>
      </w:r>
      <w:r w:rsidRPr="00036097">
        <w:rPr>
          <w:rFonts w:eastAsia="Century Schoolbook"/>
          <w:highlight w:val="white"/>
        </w:rPr>
        <w:t>Dep’t)</w:t>
      </w:r>
      <w:r w:rsidRPr="009F549F">
        <w:rPr>
          <w:rFonts w:eastAsia="Century Schoolbook"/>
          <w:highlight w:val="white"/>
        </w:rPr>
        <w:t>;</w:t>
      </w:r>
      <w:r w:rsidRPr="009F549F">
        <w:rPr>
          <w:rFonts w:eastAsia="Century Schoolbook"/>
          <w:color w:val="3D3D3D"/>
          <w:highlight w:val="white"/>
        </w:rPr>
        <w:t xml:space="preserve"> </w:t>
      </w:r>
      <w:r w:rsidRPr="009F549F">
        <w:rPr>
          <w:rFonts w:eastAsia="Century Schoolbook"/>
        </w:rPr>
        <w:t xml:space="preserve">McLaughlin, </w:t>
      </w:r>
      <w:r w:rsidRPr="009F549F">
        <w:rPr>
          <w:rFonts w:eastAsia="Century Schoolbook"/>
          <w:i/>
        </w:rPr>
        <w:t xml:space="preserve">supra </w:t>
      </w:r>
      <w:r w:rsidRPr="009F549F">
        <w:rPr>
          <w:rFonts w:eastAsia="Century Schoolbook"/>
        </w:rPr>
        <w:t xml:space="preserve">note </w:t>
      </w:r>
      <w:r>
        <w:rPr>
          <w:rFonts w:eastAsia="Century Schoolbook"/>
        </w:rPr>
        <w:fldChar w:fldCharType="begin"/>
      </w:r>
      <w:r>
        <w:rPr>
          <w:rFonts w:eastAsia="Century Schoolbook"/>
        </w:rPr>
        <w:instrText xml:space="preserve"> NOTEREF _Ref115463900 \h </w:instrText>
      </w:r>
      <w:r>
        <w:rPr>
          <w:rFonts w:eastAsia="Century Schoolbook"/>
        </w:rPr>
      </w:r>
      <w:r>
        <w:rPr>
          <w:rFonts w:eastAsia="Century Schoolbook"/>
        </w:rPr>
        <w:fldChar w:fldCharType="separate"/>
      </w:r>
      <w:r>
        <w:rPr>
          <w:rFonts w:eastAsia="Century Schoolbook"/>
        </w:rPr>
        <w:t>332</w:t>
      </w:r>
      <w:r>
        <w:rPr>
          <w:rFonts w:eastAsia="Century Schoolbook"/>
        </w:rPr>
        <w:fldChar w:fldCharType="end"/>
      </w:r>
      <w:r w:rsidRPr="00036097">
        <w:rPr>
          <w:rFonts w:eastAsia="Century Schoolbook"/>
        </w:rPr>
        <w:t>,</w:t>
      </w:r>
      <w:r w:rsidRPr="009F549F">
        <w:rPr>
          <w:rFonts w:eastAsia="Century Schoolbook"/>
        </w:rPr>
        <w:t xml:space="preserve"> at 28</w:t>
      </w:r>
      <w:r w:rsidRPr="00036097">
        <w:rPr>
          <w:rFonts w:eastAsia="Century Schoolbook"/>
        </w:rPr>
        <w:t>.</w:t>
      </w:r>
      <w:r w:rsidRPr="009F549F">
        <w:rPr>
          <w:rFonts w:eastAsia="Century Schoolbook"/>
        </w:rPr>
        <w:t xml:space="preserve"> </w:t>
      </w:r>
      <w:r w:rsidRPr="009F549F">
        <w:rPr>
          <w:rFonts w:eastAsia="Century Schoolbook"/>
          <w:i/>
        </w:rPr>
        <w:t xml:space="preserve">But see id. </w:t>
      </w:r>
      <w:r w:rsidRPr="009F549F">
        <w:rPr>
          <w:rFonts w:eastAsia="Century Schoolbook"/>
        </w:rPr>
        <w:t>at 27–28 (noting that donors’ circumstances may change).</w:t>
      </w:r>
      <w:r w:rsidRPr="00036097">
        <w:rPr>
          <w:rFonts w:eastAsia="Century Schoolbook"/>
        </w:rPr>
        <w:t xml:space="preserve"> </w:t>
      </w:r>
    </w:p>
  </w:footnote>
  <w:footnote w:id="340">
    <w:p w14:paraId="0CF1370A" w14:textId="7E2D98C8" w:rsidR="006E30B5" w:rsidRPr="009F549F" w:rsidRDefault="006E30B5">
      <w:pPr>
        <w:rPr>
          <w:rFonts w:eastAsia="Century Schoolbook"/>
          <w:b/>
        </w:rPr>
      </w:pPr>
      <w:r w:rsidRPr="009F549F">
        <w:rPr>
          <w:vertAlign w:val="superscript"/>
        </w:rPr>
        <w:footnoteRef/>
      </w:r>
      <w:r w:rsidRPr="009F549F">
        <w:rPr>
          <w:rFonts w:eastAsia="Century Schoolbook"/>
        </w:rPr>
        <w:t xml:space="preserve"> Joshua A. Partlow, Jonathan O’Connell</w:t>
      </w:r>
      <w:r w:rsidRPr="007D6E99">
        <w:rPr>
          <w:rFonts w:ascii="Century Schoolbook" w:eastAsia="Century Schoolbook" w:hAnsi="Century Schoolbook" w:cs="Century Schoolbook"/>
          <w:sz w:val="20"/>
          <w:szCs w:val="20"/>
        </w:rPr>
        <w:t>,</w:t>
      </w:r>
      <w:r w:rsidRPr="009F549F">
        <w:rPr>
          <w:rFonts w:eastAsia="Century Schoolbook"/>
        </w:rPr>
        <w:t xml:space="preserve"> &amp; David A. </w:t>
      </w:r>
      <w:proofErr w:type="spellStart"/>
      <w:r w:rsidRPr="00036097">
        <w:rPr>
          <w:rFonts w:eastAsia="Century Schoolbook"/>
        </w:rPr>
        <w:t>Fahrenthold</w:t>
      </w:r>
      <w:proofErr w:type="spellEnd"/>
      <w:r w:rsidRPr="009F549F">
        <w:rPr>
          <w:rFonts w:eastAsia="Century Schoolbook"/>
        </w:rPr>
        <w:t xml:space="preserve">, </w:t>
      </w:r>
      <w:r w:rsidRPr="009F549F">
        <w:rPr>
          <w:rFonts w:eastAsia="Century Schoolbook"/>
          <w:i/>
        </w:rPr>
        <w:t xml:space="preserve">Trump Got a $21 Million Tax Break </w:t>
      </w:r>
      <w:r w:rsidRPr="00036097">
        <w:rPr>
          <w:rFonts w:eastAsia="Century Schoolbook"/>
          <w:i/>
        </w:rPr>
        <w:t>for</w:t>
      </w:r>
      <w:r w:rsidRPr="009F549F">
        <w:rPr>
          <w:rFonts w:eastAsia="Century Schoolbook"/>
          <w:i/>
        </w:rPr>
        <w:t xml:space="preserve"> Saving the Forest Outside His N.Y. Mansion</w:t>
      </w:r>
      <w:r w:rsidRPr="00036097">
        <w:rPr>
          <w:rFonts w:eastAsia="Century Schoolbook"/>
          <w:i/>
        </w:rPr>
        <w:t>. Now the Deal Is Under Investigation</w:t>
      </w:r>
      <w:r w:rsidRPr="009F549F">
        <w:rPr>
          <w:rFonts w:eastAsia="Century Schoolbook"/>
        </w:rPr>
        <w:t xml:space="preserve">, </w:t>
      </w:r>
      <w:r w:rsidRPr="009F549F">
        <w:rPr>
          <w:rFonts w:eastAsia="Century Schoolbook"/>
          <w:smallCaps/>
        </w:rPr>
        <w:t>Wash. Post</w:t>
      </w:r>
      <w:r w:rsidRPr="00036097">
        <w:rPr>
          <w:rFonts w:eastAsia="Century Schoolbook"/>
        </w:rPr>
        <w:t xml:space="preserve"> (</w:t>
      </w:r>
      <w:r w:rsidRPr="009F549F">
        <w:rPr>
          <w:rFonts w:eastAsia="Century Schoolbook"/>
        </w:rPr>
        <w:t xml:space="preserve">Oct. 7, 2020, </w:t>
      </w:r>
      <w:r w:rsidRPr="00036097">
        <w:rPr>
          <w:rFonts w:eastAsia="Century Schoolbook"/>
        </w:rPr>
        <w:t xml:space="preserve">8:35 AM), </w:t>
      </w:r>
      <w:r w:rsidRPr="00E55BAC">
        <w:rPr>
          <w:rFonts w:eastAsia="Century Schoolbook"/>
        </w:rPr>
        <w:t>https://www.washingtonpost.com/politics/trump-got-a-21-million-tax-break-for-saving-the-forest-outside-his-ny-mansion-now-the-deal-is-under-investigation/2020/10/07/de84c1ba-ff6b-11ea-830c-a160b331ca62_story.html [https://perma.cc/XDF7-QMYF]</w:t>
      </w:r>
      <w:r w:rsidRPr="008F5983">
        <w:rPr>
          <w:rFonts w:eastAsia="Century Schoolbook"/>
        </w:rPr>
        <w:t xml:space="preserve">. </w:t>
      </w:r>
    </w:p>
  </w:footnote>
  <w:footnote w:id="341">
    <w:p w14:paraId="1CD94005" w14:textId="13147B59" w:rsidR="006E30B5" w:rsidRPr="009F549F" w:rsidRDefault="006E30B5">
      <w:pPr>
        <w:rPr>
          <w:rFonts w:eastAsia="Century Schoolbook"/>
          <w:b/>
        </w:rPr>
      </w:pPr>
      <w:r w:rsidRPr="009F549F">
        <w:rPr>
          <w:vertAlign w:val="superscript"/>
        </w:rPr>
        <w:footnoteRef/>
      </w:r>
      <w:r w:rsidRPr="00036097">
        <w:rPr>
          <w:rFonts w:eastAsia="Century Schoolbook"/>
        </w:rPr>
        <w:t xml:space="preserve"> </w:t>
      </w:r>
      <w:r>
        <w:rPr>
          <w:rFonts w:eastAsia="Century Schoolbook"/>
          <w:i/>
          <w:iCs/>
        </w:rPr>
        <w:t>Id.</w:t>
      </w:r>
      <w:r>
        <w:rPr>
          <w:rFonts w:eastAsia="Century Schoolbook"/>
        </w:rPr>
        <w:t xml:space="preserve">; </w:t>
      </w:r>
      <w:r>
        <w:rPr>
          <w:rFonts w:eastAsia="Century Schoolbook"/>
          <w:i/>
          <w:iCs/>
        </w:rPr>
        <w:t>see also</w:t>
      </w:r>
      <w:r w:rsidRPr="009F549F">
        <w:rPr>
          <w:rFonts w:eastAsia="Century Schoolbook"/>
          <w:i/>
        </w:rPr>
        <w:t xml:space="preserve"> </w:t>
      </w:r>
      <w:r w:rsidRPr="009F549F">
        <w:rPr>
          <w:rFonts w:eastAsia="Century Schoolbook"/>
        </w:rPr>
        <w:t xml:space="preserve">Adam Looney, </w:t>
      </w:r>
      <w:r w:rsidRPr="009F549F">
        <w:rPr>
          <w:rFonts w:eastAsia="Century Schoolbook"/>
          <w:i/>
        </w:rPr>
        <w:t xml:space="preserve">Estimating the </w:t>
      </w:r>
      <w:r w:rsidRPr="00036097">
        <w:rPr>
          <w:rFonts w:eastAsia="Century Schoolbook"/>
          <w:i/>
        </w:rPr>
        <w:t xml:space="preserve">Rising </w:t>
      </w:r>
      <w:r w:rsidRPr="009F549F">
        <w:rPr>
          <w:rFonts w:eastAsia="Century Schoolbook"/>
          <w:i/>
        </w:rPr>
        <w:t>Cost of a Surprising Tax Shelter: The Syndicated Conservation Easement</w:t>
      </w:r>
      <w:r w:rsidRPr="009F549F">
        <w:rPr>
          <w:rFonts w:eastAsia="Century Schoolbook"/>
        </w:rPr>
        <w:t xml:space="preserve">, </w:t>
      </w:r>
      <w:r w:rsidRPr="009F549F">
        <w:rPr>
          <w:rFonts w:eastAsia="Century Schoolbook"/>
          <w:smallCaps/>
        </w:rPr>
        <w:t>Brookings</w:t>
      </w:r>
      <w:r w:rsidRPr="009F549F">
        <w:rPr>
          <w:rFonts w:eastAsia="Century Schoolbook"/>
        </w:rPr>
        <w:t xml:space="preserve"> </w:t>
      </w:r>
      <w:r w:rsidRPr="00036097">
        <w:rPr>
          <w:rFonts w:eastAsia="Century Schoolbook"/>
        </w:rPr>
        <w:t>(</w:t>
      </w:r>
      <w:r w:rsidRPr="009F549F">
        <w:rPr>
          <w:rFonts w:eastAsia="Century Schoolbook"/>
        </w:rPr>
        <w:t>Dec. 20, 2017</w:t>
      </w:r>
      <w:r w:rsidRPr="00036097">
        <w:rPr>
          <w:rFonts w:eastAsia="Century Schoolbook"/>
        </w:rPr>
        <w:t>),</w:t>
      </w:r>
      <w:r w:rsidRPr="009F549F">
        <w:rPr>
          <w:rFonts w:eastAsia="Century Schoolbook"/>
        </w:rPr>
        <w:t xml:space="preserve"> https://www.brookings.edu/blog/up-front/2017/12/20/estimating-the-rising-cost-of-a-surprising-tax-shelter-the-syndicated-conservation-easement</w:t>
      </w:r>
      <w:r w:rsidRPr="00036097">
        <w:rPr>
          <w:rFonts w:eastAsia="Century Schoolbook"/>
        </w:rPr>
        <w:t xml:space="preserve"> [https://perma.cc/V55X-RWDW]. </w:t>
      </w:r>
    </w:p>
  </w:footnote>
  <w:footnote w:id="342">
    <w:p w14:paraId="5579BAEF" w14:textId="33898474" w:rsidR="006E30B5" w:rsidRPr="009F549F" w:rsidRDefault="006E30B5">
      <w:pPr>
        <w:rPr>
          <w:rFonts w:eastAsia="Century Schoolbook"/>
        </w:rPr>
      </w:pPr>
      <w:r w:rsidRPr="009F549F">
        <w:rPr>
          <w:vertAlign w:val="superscript"/>
        </w:rPr>
        <w:footnoteRef/>
      </w:r>
      <w:r w:rsidRPr="009F549F">
        <w:rPr>
          <w:rFonts w:eastAsia="Century Schoolbook"/>
        </w:rPr>
        <w:t xml:space="preserve"> </w:t>
      </w:r>
      <w:proofErr w:type="spellStart"/>
      <w:r w:rsidRPr="009F549F">
        <w:rPr>
          <w:rFonts w:eastAsia="Century Schoolbook"/>
        </w:rPr>
        <w:t>Colinvaux</w:t>
      </w:r>
      <w:proofErr w:type="spellEnd"/>
      <w:r w:rsidRPr="009F549F">
        <w:rPr>
          <w:rFonts w:eastAsia="Century Schoolbook"/>
        </w:rPr>
        <w:t xml:space="preserve">, </w:t>
      </w:r>
      <w:r w:rsidRPr="009F549F">
        <w:rPr>
          <w:rFonts w:eastAsia="Century Schoolbook"/>
          <w:i/>
        </w:rPr>
        <w:t>supra</w:t>
      </w:r>
      <w:r w:rsidRPr="009F549F">
        <w:rPr>
          <w:rFonts w:eastAsia="Century Schoolbook"/>
        </w:rPr>
        <w:t xml:space="preserve"> note </w:t>
      </w:r>
      <w:r>
        <w:rPr>
          <w:rFonts w:eastAsia="Century Schoolbook"/>
        </w:rPr>
        <w:fldChar w:fldCharType="begin"/>
      </w:r>
      <w:r>
        <w:rPr>
          <w:rFonts w:eastAsia="Century Schoolbook"/>
        </w:rPr>
        <w:instrText xml:space="preserve"> NOTEREF _Ref115466914 \h </w:instrText>
      </w:r>
      <w:r>
        <w:rPr>
          <w:rFonts w:eastAsia="Century Schoolbook"/>
        </w:rPr>
      </w:r>
      <w:r>
        <w:rPr>
          <w:rFonts w:eastAsia="Century Schoolbook"/>
        </w:rPr>
        <w:fldChar w:fldCharType="separate"/>
      </w:r>
      <w:r>
        <w:rPr>
          <w:rFonts w:eastAsia="Century Schoolbook"/>
        </w:rPr>
        <w:t>334</w:t>
      </w:r>
      <w:r>
        <w:rPr>
          <w:rFonts w:eastAsia="Century Schoolbook"/>
        </w:rPr>
        <w:fldChar w:fldCharType="end"/>
      </w:r>
      <w:r w:rsidRPr="00036097">
        <w:rPr>
          <w:rFonts w:eastAsia="Century Schoolbook"/>
        </w:rPr>
        <w:t>,</w:t>
      </w:r>
      <w:r w:rsidRPr="009F549F">
        <w:rPr>
          <w:rFonts w:eastAsia="Century Schoolbook"/>
        </w:rPr>
        <w:t xml:space="preserve"> at 765</w:t>
      </w:r>
      <w:r w:rsidRPr="007D6E99">
        <w:rPr>
          <w:rFonts w:ascii="Century Schoolbook" w:eastAsia="Century Schoolbook" w:hAnsi="Century Schoolbook" w:cs="Century Schoolbook"/>
          <w:sz w:val="20"/>
          <w:szCs w:val="20"/>
        </w:rPr>
        <w:t>–66</w:t>
      </w:r>
      <w:r w:rsidRPr="009F549F">
        <w:rPr>
          <w:rFonts w:eastAsia="Century Schoolbook"/>
        </w:rPr>
        <w:t>.</w:t>
      </w:r>
    </w:p>
  </w:footnote>
  <w:footnote w:id="343">
    <w:p w14:paraId="3A0548BA" w14:textId="7852C9F3" w:rsidR="006E30B5" w:rsidRPr="009F549F" w:rsidRDefault="006E30B5">
      <w:pPr>
        <w:rPr>
          <w:rFonts w:eastAsia="Century Schoolbook"/>
        </w:rPr>
      </w:pPr>
      <w:r w:rsidRPr="009F549F">
        <w:rPr>
          <w:vertAlign w:val="superscript"/>
        </w:rPr>
        <w:footnoteRef/>
      </w:r>
      <w:r w:rsidRPr="009F549F">
        <w:rPr>
          <w:rFonts w:eastAsia="Century Schoolbook"/>
        </w:rPr>
        <w:t xml:space="preserve"> </w:t>
      </w:r>
      <w:proofErr w:type="spellStart"/>
      <w:r w:rsidRPr="00036097">
        <w:rPr>
          <w:rFonts w:eastAsia="Century Schoolbook"/>
        </w:rPr>
        <w:t>Kaustuv</w:t>
      </w:r>
      <w:proofErr w:type="spellEnd"/>
      <w:r w:rsidRPr="009F549F">
        <w:rPr>
          <w:rFonts w:eastAsia="Century Schoolbook"/>
        </w:rPr>
        <w:t xml:space="preserve"> </w:t>
      </w:r>
      <w:proofErr w:type="spellStart"/>
      <w:r w:rsidRPr="009F549F">
        <w:rPr>
          <w:rFonts w:eastAsia="Century Schoolbook"/>
        </w:rPr>
        <w:t>Basu</w:t>
      </w:r>
      <w:proofErr w:type="spellEnd"/>
      <w:r w:rsidRPr="009F549F">
        <w:rPr>
          <w:rFonts w:eastAsia="Century Schoolbook"/>
        </w:rPr>
        <w:t xml:space="preserve">, </w:t>
      </w:r>
      <w:r w:rsidRPr="009F549F">
        <w:rPr>
          <w:rFonts w:eastAsia="Century Schoolbook"/>
          <w:i/>
        </w:rPr>
        <w:t xml:space="preserve">Plan </w:t>
      </w:r>
      <w:r w:rsidRPr="00036097">
        <w:rPr>
          <w:rFonts w:eastAsia="Century Schoolbook"/>
          <w:i/>
        </w:rPr>
        <w:t>To</w:t>
      </w:r>
      <w:r w:rsidRPr="009F549F">
        <w:rPr>
          <w:rFonts w:eastAsia="Century Schoolbook"/>
          <w:i/>
        </w:rPr>
        <w:t xml:space="preserve"> Curb Land Conservation Break Out of Tax-and-Spend Plan</w:t>
      </w:r>
      <w:r w:rsidRPr="009F549F">
        <w:rPr>
          <w:rFonts w:eastAsia="Century Schoolbook"/>
        </w:rPr>
        <w:t xml:space="preserve">, </w:t>
      </w:r>
      <w:r w:rsidRPr="009F549F">
        <w:rPr>
          <w:rFonts w:eastAsia="Century Schoolbook"/>
          <w:smallCaps/>
        </w:rPr>
        <w:t>Bloomberg Tax</w:t>
      </w:r>
      <w:r w:rsidRPr="009F549F">
        <w:rPr>
          <w:rFonts w:eastAsia="Century Schoolbook"/>
        </w:rPr>
        <w:t xml:space="preserve"> (Oct. 27, 2021</w:t>
      </w:r>
      <w:r w:rsidRPr="00036097">
        <w:rPr>
          <w:rFonts w:eastAsia="Century Schoolbook"/>
        </w:rPr>
        <w:t>, 7:21 PM),</w:t>
      </w:r>
      <w:r w:rsidRPr="009F549F">
        <w:rPr>
          <w:rFonts w:eastAsia="Century Schoolbook"/>
        </w:rPr>
        <w:t xml:space="preserve"> https://news.bloombergtax.com/daily-tax-report/plan-to-curb-land-conservation-break-out-of-tax-and-spend-plan</w:t>
      </w:r>
      <w:r w:rsidRPr="00036097">
        <w:rPr>
          <w:rFonts w:eastAsia="Century Schoolbook"/>
        </w:rPr>
        <w:t xml:space="preserve"> [https://perma.cc/UYD6-MPJR].</w:t>
      </w:r>
    </w:p>
  </w:footnote>
  <w:footnote w:id="344">
    <w:p w14:paraId="77C3E29B" w14:textId="69D8DF93" w:rsidR="006E30B5" w:rsidRPr="009F549F" w:rsidRDefault="006E30B5">
      <w:pPr>
        <w:rPr>
          <w:rFonts w:eastAsia="Century Schoolbook"/>
          <w:b/>
        </w:rPr>
      </w:pPr>
      <w:r w:rsidRPr="009F549F">
        <w:rPr>
          <w:vertAlign w:val="superscript"/>
        </w:rPr>
        <w:footnoteRef/>
      </w:r>
      <w:r w:rsidRPr="009F549F">
        <w:rPr>
          <w:rFonts w:eastAsia="Century Schoolbook"/>
        </w:rPr>
        <w:t xml:space="preserve"> </w:t>
      </w:r>
      <w:r w:rsidRPr="009F549F">
        <w:rPr>
          <w:rFonts w:eastAsia="Century Schoolbook"/>
          <w:i/>
        </w:rPr>
        <w:t>See</w:t>
      </w:r>
      <w:r w:rsidRPr="009F549F">
        <w:rPr>
          <w:rFonts w:eastAsia="Century Schoolbook"/>
        </w:rPr>
        <w:t xml:space="preserve"> </w:t>
      </w:r>
      <w:r w:rsidRPr="00310E58">
        <w:rPr>
          <w:rFonts w:eastAsia="Century Schoolbook"/>
          <w:smallCaps/>
        </w:rPr>
        <w:t>Belcher &amp; Fellows</w:t>
      </w:r>
      <w:r w:rsidRPr="009F549F">
        <w:rPr>
          <w:rFonts w:eastAsia="Century Schoolbook"/>
        </w:rPr>
        <w:t xml:space="preserve">, </w:t>
      </w:r>
      <w:r w:rsidRPr="009F549F">
        <w:rPr>
          <w:rFonts w:eastAsia="Century Schoolbook"/>
          <w:i/>
        </w:rPr>
        <w:t>supra</w:t>
      </w:r>
      <w:r w:rsidRPr="009F549F">
        <w:rPr>
          <w:rFonts w:eastAsia="Century Schoolbook"/>
        </w:rPr>
        <w:t xml:space="preserve"> note </w:t>
      </w:r>
      <w:r>
        <w:rPr>
          <w:rFonts w:eastAsia="Century Schoolbook"/>
        </w:rPr>
        <w:fldChar w:fldCharType="begin"/>
      </w:r>
      <w:r>
        <w:rPr>
          <w:rFonts w:eastAsia="Century Schoolbook"/>
        </w:rPr>
        <w:instrText xml:space="preserve"> NOTEREF _Ref115467713 \h </w:instrText>
      </w:r>
      <w:r>
        <w:rPr>
          <w:rFonts w:eastAsia="Century Schoolbook"/>
        </w:rPr>
      </w:r>
      <w:r>
        <w:rPr>
          <w:rFonts w:eastAsia="Century Schoolbook"/>
        </w:rPr>
        <w:fldChar w:fldCharType="separate"/>
      </w:r>
      <w:r>
        <w:rPr>
          <w:rFonts w:eastAsia="Century Schoolbook"/>
        </w:rPr>
        <w:t>281</w:t>
      </w:r>
      <w:r>
        <w:rPr>
          <w:rFonts w:eastAsia="Century Schoolbook"/>
        </w:rPr>
        <w:fldChar w:fldCharType="end"/>
      </w:r>
      <w:r w:rsidRPr="00036097">
        <w:rPr>
          <w:rFonts w:eastAsia="Century Schoolbook"/>
        </w:rPr>
        <w:t>,</w:t>
      </w:r>
      <w:r w:rsidRPr="009F549F">
        <w:rPr>
          <w:rFonts w:eastAsia="Century Schoolbook"/>
        </w:rPr>
        <w:t xml:space="preserve"> at </w:t>
      </w:r>
      <w:r w:rsidRPr="00036097">
        <w:rPr>
          <w:rFonts w:eastAsia="Century Schoolbook"/>
        </w:rPr>
        <w:t>291</w:t>
      </w:r>
      <w:r w:rsidRPr="009F549F">
        <w:rPr>
          <w:rFonts w:eastAsia="Century Schoolbook"/>
        </w:rPr>
        <w:t xml:space="preserve"> (stating that current law “has to” rely on actuarial tables and other approximations).</w:t>
      </w:r>
      <w:r w:rsidRPr="00036097">
        <w:rPr>
          <w:rFonts w:eastAsia="Century Schoolbook"/>
        </w:rPr>
        <w:t xml:space="preserve"> </w:t>
      </w:r>
    </w:p>
  </w:footnote>
  <w:footnote w:id="345">
    <w:p w14:paraId="30D948C0" w14:textId="4005EEF5" w:rsidR="006E30B5" w:rsidRPr="009F549F" w:rsidRDefault="006E30B5">
      <w:pPr>
        <w:rPr>
          <w:rFonts w:eastAsia="Century Schoolbook"/>
        </w:rPr>
      </w:pPr>
      <w:r w:rsidRPr="009F549F">
        <w:rPr>
          <w:vertAlign w:val="superscript"/>
        </w:rPr>
        <w:footnoteRef/>
      </w:r>
      <w:r w:rsidRPr="009F549F">
        <w:rPr>
          <w:rFonts w:eastAsia="Century Schoolbook"/>
        </w:rPr>
        <w:t xml:space="preserve"> In the case of conservation easements, the ULTRA could also be resolved when the underlying property is sold. </w:t>
      </w:r>
      <w:r w:rsidRPr="009F549F">
        <w:rPr>
          <w:rFonts w:eastAsia="Century Schoolbook"/>
        </w:rPr>
        <w:t>The sale price could be compared against the value of comparable properties, and any discount for the property subject to the easement would then be the value of the donor’s charitable contribution</w:t>
      </w:r>
      <w:r>
        <w:rPr>
          <w:rFonts w:ascii="Century Schoolbook" w:eastAsia="Century Schoolbook" w:hAnsi="Century Schoolbook" w:cs="Century Schoolbook"/>
          <w:sz w:val="20"/>
          <w:szCs w:val="20"/>
        </w:rPr>
        <w:t xml:space="preserve">. </w:t>
      </w:r>
    </w:p>
  </w:footnote>
  <w:footnote w:id="346">
    <w:p w14:paraId="1AC8ABB8" w14:textId="72A60876" w:rsidR="006E30B5" w:rsidRPr="009F549F" w:rsidRDefault="006E30B5">
      <w:pPr>
        <w:rPr>
          <w:rFonts w:eastAsia="Century Schoolbook"/>
          <w:b/>
        </w:rPr>
      </w:pPr>
      <w:r w:rsidRPr="009F549F">
        <w:rPr>
          <w:vertAlign w:val="superscript"/>
        </w:rPr>
        <w:footnoteRef/>
      </w:r>
      <w:r w:rsidRPr="009F549F">
        <w:rPr>
          <w:rFonts w:eastAsia="Century Schoolbook"/>
        </w:rPr>
        <w:t xml:space="preserve"> </w:t>
      </w:r>
      <w:proofErr w:type="spellStart"/>
      <w:r w:rsidRPr="009F549F">
        <w:rPr>
          <w:rFonts w:eastAsia="Century Schoolbook"/>
        </w:rPr>
        <w:t>Gerzog</w:t>
      </w:r>
      <w:proofErr w:type="spellEnd"/>
      <w:r w:rsidRPr="009F549F">
        <w:rPr>
          <w:rFonts w:eastAsia="Century Schoolbook"/>
        </w:rPr>
        <w:t xml:space="preserve">, </w:t>
      </w:r>
      <w:r w:rsidRPr="009F549F">
        <w:rPr>
          <w:rFonts w:eastAsia="Century Schoolbook"/>
          <w:i/>
        </w:rPr>
        <w:t>supra</w:t>
      </w:r>
      <w:r w:rsidRPr="009F549F">
        <w:rPr>
          <w:rFonts w:eastAsia="Century Schoolbook"/>
        </w:rPr>
        <w:t xml:space="preserve"> note </w:t>
      </w:r>
      <w:r>
        <w:rPr>
          <w:rFonts w:eastAsia="Century Schoolbook"/>
        </w:rPr>
        <w:fldChar w:fldCharType="begin"/>
      </w:r>
      <w:r>
        <w:rPr>
          <w:rFonts w:eastAsia="Century Schoolbook"/>
        </w:rPr>
        <w:instrText xml:space="preserve"> NOTEREF _Ref115467713 \h </w:instrText>
      </w:r>
      <w:r>
        <w:rPr>
          <w:rFonts w:eastAsia="Century Schoolbook"/>
        </w:rPr>
      </w:r>
      <w:r>
        <w:rPr>
          <w:rFonts w:eastAsia="Century Schoolbook"/>
        </w:rPr>
        <w:fldChar w:fldCharType="separate"/>
      </w:r>
      <w:r>
        <w:rPr>
          <w:rFonts w:eastAsia="Century Schoolbook"/>
        </w:rPr>
        <w:t>281</w:t>
      </w:r>
      <w:r>
        <w:rPr>
          <w:rFonts w:eastAsia="Century Schoolbook"/>
        </w:rPr>
        <w:fldChar w:fldCharType="end"/>
      </w:r>
      <w:r w:rsidRPr="00036097">
        <w:rPr>
          <w:rFonts w:eastAsia="Century Schoolbook"/>
        </w:rPr>
        <w:t>,</w:t>
      </w:r>
      <w:r w:rsidRPr="009F549F">
        <w:rPr>
          <w:rFonts w:eastAsia="Century Schoolbook"/>
        </w:rPr>
        <w:t xml:space="preserve"> at 1051</w:t>
      </w:r>
      <w:r w:rsidRPr="007D6E99">
        <w:rPr>
          <w:rFonts w:ascii="Century Schoolbook" w:eastAsia="Century Schoolbook" w:hAnsi="Century Schoolbook" w:cs="Century Schoolbook"/>
          <w:sz w:val="20"/>
          <w:szCs w:val="20"/>
        </w:rPr>
        <w:t>–52</w:t>
      </w:r>
      <w:r w:rsidRPr="009F549F">
        <w:rPr>
          <w:rFonts w:eastAsia="Century Schoolbook"/>
        </w:rPr>
        <w:t xml:space="preserve">; </w:t>
      </w:r>
      <w:r w:rsidRPr="009F549F">
        <w:rPr>
          <w:rFonts w:eastAsia="Century Schoolbook"/>
          <w:i/>
        </w:rPr>
        <w:t>see also</w:t>
      </w:r>
      <w:r w:rsidRPr="009F549F">
        <w:rPr>
          <w:rFonts w:eastAsia="Century Schoolbook"/>
        </w:rPr>
        <w:t xml:space="preserve"> </w:t>
      </w:r>
      <w:r w:rsidRPr="00310E58">
        <w:rPr>
          <w:rFonts w:eastAsia="Century Schoolbook"/>
          <w:smallCaps/>
        </w:rPr>
        <w:t>Belcher &amp; Fellows</w:t>
      </w:r>
      <w:r w:rsidRPr="009F549F">
        <w:rPr>
          <w:rFonts w:eastAsia="Century Schoolbook"/>
        </w:rPr>
        <w:t xml:space="preserve">, </w:t>
      </w:r>
      <w:r w:rsidRPr="009F549F">
        <w:rPr>
          <w:rFonts w:eastAsia="Century Schoolbook"/>
          <w:i/>
        </w:rPr>
        <w:t>supra</w:t>
      </w:r>
      <w:r w:rsidRPr="009F549F">
        <w:rPr>
          <w:rFonts w:eastAsia="Century Schoolbook"/>
        </w:rPr>
        <w:t xml:space="preserve"> note </w:t>
      </w:r>
      <w:r>
        <w:rPr>
          <w:rFonts w:eastAsia="Century Schoolbook"/>
        </w:rPr>
        <w:fldChar w:fldCharType="begin"/>
      </w:r>
      <w:r>
        <w:rPr>
          <w:rFonts w:eastAsia="Century Schoolbook"/>
        </w:rPr>
        <w:instrText xml:space="preserve"> NOTEREF _Ref115467713 \h </w:instrText>
      </w:r>
      <w:r>
        <w:rPr>
          <w:rFonts w:eastAsia="Century Schoolbook"/>
        </w:rPr>
      </w:r>
      <w:r>
        <w:rPr>
          <w:rFonts w:eastAsia="Century Schoolbook"/>
        </w:rPr>
        <w:fldChar w:fldCharType="separate"/>
      </w:r>
      <w:r>
        <w:rPr>
          <w:rFonts w:eastAsia="Century Schoolbook"/>
        </w:rPr>
        <w:t>281</w:t>
      </w:r>
      <w:r>
        <w:rPr>
          <w:rFonts w:eastAsia="Century Schoolbook"/>
        </w:rPr>
        <w:fldChar w:fldCharType="end"/>
      </w:r>
      <w:r w:rsidRPr="00036097">
        <w:rPr>
          <w:rFonts w:eastAsia="Century Schoolbook"/>
        </w:rPr>
        <w:t>,</w:t>
      </w:r>
      <w:r w:rsidRPr="009F549F">
        <w:rPr>
          <w:rFonts w:eastAsia="Century Schoolbook"/>
        </w:rPr>
        <w:t xml:space="preserve"> at </w:t>
      </w:r>
      <w:r w:rsidRPr="00036097">
        <w:rPr>
          <w:rFonts w:eastAsia="Century Schoolbook"/>
        </w:rPr>
        <w:t>291</w:t>
      </w:r>
      <w:r w:rsidRPr="009F549F">
        <w:rPr>
          <w:rFonts w:eastAsia="Century Schoolbook"/>
        </w:rPr>
        <w:t xml:space="preserve"> (proposing this result as part of a larger switch from an estate to an accessions tax).</w:t>
      </w:r>
    </w:p>
  </w:footnote>
  <w:footnote w:id="347">
    <w:p w14:paraId="1F706DA4" w14:textId="46C11F23" w:rsidR="006E30B5" w:rsidRPr="009F549F" w:rsidRDefault="006E30B5">
      <w:pPr>
        <w:rPr>
          <w:rFonts w:eastAsia="Century Schoolbook"/>
          <w:b/>
        </w:rPr>
      </w:pPr>
      <w:r w:rsidRPr="009F549F">
        <w:rPr>
          <w:vertAlign w:val="superscript"/>
        </w:rPr>
        <w:footnoteRef/>
      </w:r>
      <w:r w:rsidRPr="009F549F">
        <w:rPr>
          <w:rFonts w:eastAsia="Century Schoolbook"/>
        </w:rPr>
        <w:t xml:space="preserve"> Roger </w:t>
      </w:r>
      <w:proofErr w:type="spellStart"/>
      <w:r w:rsidRPr="009F549F">
        <w:rPr>
          <w:rFonts w:eastAsia="Century Schoolbook"/>
        </w:rPr>
        <w:t>Colinvaux</w:t>
      </w:r>
      <w:proofErr w:type="spellEnd"/>
      <w:r w:rsidRPr="009F549F">
        <w:rPr>
          <w:rFonts w:eastAsia="Century Schoolbook"/>
        </w:rPr>
        <w:t xml:space="preserve">, </w:t>
      </w:r>
      <w:r w:rsidRPr="009F549F">
        <w:rPr>
          <w:rFonts w:eastAsia="Century Schoolbook"/>
          <w:i/>
        </w:rPr>
        <w:t>Charitable Contributions of Property: A Broken System Reimagined</w:t>
      </w:r>
      <w:r w:rsidRPr="009F549F">
        <w:rPr>
          <w:rFonts w:eastAsia="Century Schoolbook"/>
        </w:rPr>
        <w:t xml:space="preserve">, 50 </w:t>
      </w:r>
      <w:r w:rsidRPr="009F549F">
        <w:rPr>
          <w:rFonts w:eastAsia="Century Schoolbook"/>
          <w:smallCaps/>
        </w:rPr>
        <w:t xml:space="preserve">Harv. J. </w:t>
      </w:r>
      <w:r w:rsidRPr="00036097">
        <w:rPr>
          <w:rFonts w:eastAsia="Century Schoolbook"/>
          <w:smallCaps/>
        </w:rPr>
        <w:t>on Legis</w:t>
      </w:r>
      <w:r w:rsidRPr="009F549F">
        <w:rPr>
          <w:rFonts w:eastAsia="Century Schoolbook"/>
          <w:smallCaps/>
        </w:rPr>
        <w:t>.</w:t>
      </w:r>
      <w:r w:rsidRPr="009F549F">
        <w:rPr>
          <w:rFonts w:eastAsia="Century Schoolbook"/>
        </w:rPr>
        <w:t xml:space="preserve"> 263, </w:t>
      </w:r>
      <w:r w:rsidRPr="007D6E99">
        <w:rPr>
          <w:rFonts w:ascii="Century Schoolbook" w:eastAsia="Century Schoolbook" w:hAnsi="Century Schoolbook" w:cs="Century Schoolbook"/>
          <w:sz w:val="20"/>
          <w:szCs w:val="20"/>
        </w:rPr>
        <w:t>290–</w:t>
      </w:r>
      <w:r w:rsidRPr="009F549F">
        <w:rPr>
          <w:rFonts w:eastAsia="Century Schoolbook"/>
        </w:rPr>
        <w:t>318</w:t>
      </w:r>
      <w:r w:rsidRPr="00036097">
        <w:rPr>
          <w:rFonts w:eastAsia="Century Schoolbook"/>
        </w:rPr>
        <w:t>–19</w:t>
      </w:r>
      <w:r w:rsidRPr="009F549F">
        <w:rPr>
          <w:rFonts w:eastAsia="Century Schoolbook"/>
        </w:rPr>
        <w:t xml:space="preserve"> (2013); Daniel Halperin, </w:t>
      </w:r>
      <w:r w:rsidRPr="009F549F">
        <w:rPr>
          <w:rFonts w:eastAsia="Century Schoolbook"/>
          <w:i/>
        </w:rPr>
        <w:t xml:space="preserve">A Charitable Contribution of Appreciated Property and the Realization of Built-in </w:t>
      </w:r>
      <w:r w:rsidRPr="00036097">
        <w:rPr>
          <w:rFonts w:eastAsia="Century Schoolbook"/>
          <w:i/>
        </w:rPr>
        <w:t>Gains</w:t>
      </w:r>
      <w:r w:rsidRPr="009F549F">
        <w:rPr>
          <w:rFonts w:eastAsia="Century Schoolbook"/>
        </w:rPr>
        <w:t xml:space="preserve">, 56 </w:t>
      </w:r>
      <w:r w:rsidRPr="009F549F">
        <w:rPr>
          <w:rFonts w:eastAsia="Century Schoolbook"/>
          <w:smallCaps/>
        </w:rPr>
        <w:t>Tax L. Rev</w:t>
      </w:r>
      <w:r w:rsidRPr="009F549F">
        <w:rPr>
          <w:rFonts w:eastAsia="Century Schoolbook"/>
        </w:rPr>
        <w:t xml:space="preserve">. 1, </w:t>
      </w:r>
      <w:r w:rsidRPr="00036097">
        <w:rPr>
          <w:rFonts w:eastAsia="Century Schoolbook"/>
        </w:rPr>
        <w:t>34</w:t>
      </w:r>
      <w:r w:rsidRPr="009F549F">
        <w:rPr>
          <w:rFonts w:eastAsia="Century Schoolbook"/>
        </w:rPr>
        <w:t xml:space="preserve"> (2002). </w:t>
      </w:r>
    </w:p>
  </w:footnote>
  <w:footnote w:id="348">
    <w:p w14:paraId="372ADE1B" w14:textId="213ED805" w:rsidR="006E30B5" w:rsidRPr="009F549F" w:rsidRDefault="006E30B5">
      <w:pPr>
        <w:rPr>
          <w:rFonts w:eastAsia="Century Schoolbook"/>
          <w:b/>
        </w:rPr>
      </w:pPr>
      <w:r w:rsidRPr="009F549F">
        <w:rPr>
          <w:vertAlign w:val="superscript"/>
        </w:rPr>
        <w:footnoteRef/>
      </w:r>
      <w:r w:rsidRPr="009F549F">
        <w:rPr>
          <w:rFonts w:eastAsia="Century Schoolbook"/>
        </w:rPr>
        <w:t xml:space="preserve"> </w:t>
      </w:r>
      <w:r w:rsidRPr="00310E58">
        <w:rPr>
          <w:rFonts w:eastAsia="Century Schoolbook"/>
          <w:iCs/>
        </w:rPr>
        <w:t>Halperin,</w:t>
      </w:r>
      <w:r w:rsidRPr="00036097">
        <w:rPr>
          <w:rFonts w:eastAsia="Century Schoolbook"/>
          <w:i/>
        </w:rPr>
        <w:t xml:space="preserve"> supra</w:t>
      </w:r>
      <w:r w:rsidRPr="00036097">
        <w:rPr>
          <w:rFonts w:eastAsia="Century Schoolbook"/>
          <w:iCs/>
        </w:rPr>
        <w:t xml:space="preserve"> note </w:t>
      </w:r>
      <w:r>
        <w:rPr>
          <w:rFonts w:eastAsia="Century Schoolbook"/>
          <w:iCs/>
        </w:rPr>
        <w:fldChar w:fldCharType="begin"/>
      </w:r>
      <w:r>
        <w:rPr>
          <w:rFonts w:eastAsia="Century Schoolbook"/>
          <w:iCs/>
        </w:rPr>
        <w:instrText xml:space="preserve"> NOTEREF _Ref115469179 \h </w:instrText>
      </w:r>
      <w:r>
        <w:rPr>
          <w:rFonts w:eastAsia="Century Schoolbook"/>
          <w:iCs/>
        </w:rPr>
      </w:r>
      <w:r>
        <w:rPr>
          <w:rFonts w:eastAsia="Century Schoolbook"/>
          <w:iCs/>
        </w:rPr>
        <w:fldChar w:fldCharType="separate"/>
      </w:r>
      <w:r>
        <w:rPr>
          <w:rFonts w:eastAsia="Century Schoolbook"/>
          <w:iCs/>
        </w:rPr>
        <w:t>343</w:t>
      </w:r>
      <w:r>
        <w:rPr>
          <w:rFonts w:eastAsia="Century Schoolbook"/>
          <w:iCs/>
        </w:rPr>
        <w:fldChar w:fldCharType="end"/>
      </w:r>
      <w:r w:rsidRPr="00036097">
        <w:rPr>
          <w:rFonts w:eastAsia="Century Schoolbook"/>
          <w:iCs/>
        </w:rPr>
        <w:t>,</w:t>
      </w:r>
      <w:r w:rsidRPr="009F549F">
        <w:rPr>
          <w:rFonts w:eastAsia="Century Schoolbook"/>
        </w:rPr>
        <w:t xml:space="preserve"> at 25–26.</w:t>
      </w:r>
      <w:r w:rsidRPr="00036097">
        <w:rPr>
          <w:rFonts w:eastAsia="Century Schoolbook"/>
        </w:rPr>
        <w:t xml:space="preserve"> </w:t>
      </w:r>
    </w:p>
  </w:footnote>
  <w:footnote w:id="349">
    <w:p w14:paraId="02978E20" w14:textId="1EDA76CF" w:rsidR="006E30B5" w:rsidRPr="009F549F" w:rsidRDefault="006E30B5">
      <w:pPr>
        <w:rPr>
          <w:rFonts w:eastAsia="Century Schoolbook"/>
          <w:b/>
        </w:rPr>
      </w:pPr>
      <w:r w:rsidRPr="009F549F">
        <w:rPr>
          <w:vertAlign w:val="superscript"/>
        </w:rPr>
        <w:footnoteRef/>
      </w:r>
      <w:r w:rsidRPr="009F549F">
        <w:rPr>
          <w:rFonts w:eastAsia="Century Schoolbook"/>
        </w:rPr>
        <w:t xml:space="preserve"> For discussion of valuation difficulties with in-kind donations, see </w:t>
      </w:r>
      <w:proofErr w:type="spellStart"/>
      <w:r w:rsidRPr="009F549F">
        <w:rPr>
          <w:rFonts w:eastAsia="Century Schoolbook"/>
        </w:rPr>
        <w:t>Colinvaux</w:t>
      </w:r>
      <w:proofErr w:type="spellEnd"/>
      <w:r w:rsidRPr="009F549F">
        <w:rPr>
          <w:rFonts w:eastAsia="Century Schoolbook"/>
        </w:rPr>
        <w:t xml:space="preserve">, </w:t>
      </w:r>
      <w:r w:rsidRPr="009F549F">
        <w:rPr>
          <w:rFonts w:eastAsia="Century Schoolbook"/>
          <w:i/>
        </w:rPr>
        <w:t>supra</w:t>
      </w:r>
      <w:r w:rsidRPr="009F549F">
        <w:rPr>
          <w:rFonts w:eastAsia="Century Schoolbook"/>
        </w:rPr>
        <w:t xml:space="preserve"> note </w:t>
      </w:r>
      <w:r>
        <w:rPr>
          <w:rFonts w:eastAsia="Century Schoolbook"/>
        </w:rPr>
        <w:fldChar w:fldCharType="begin"/>
      </w:r>
      <w:r>
        <w:rPr>
          <w:rFonts w:eastAsia="Century Schoolbook"/>
        </w:rPr>
        <w:instrText xml:space="preserve"> NOTEREF _Ref115469179 \h </w:instrText>
      </w:r>
      <w:r>
        <w:rPr>
          <w:rFonts w:eastAsia="Century Schoolbook"/>
        </w:rPr>
      </w:r>
      <w:r>
        <w:rPr>
          <w:rFonts w:eastAsia="Century Schoolbook"/>
        </w:rPr>
        <w:fldChar w:fldCharType="separate"/>
      </w:r>
      <w:r>
        <w:rPr>
          <w:rFonts w:eastAsia="Century Schoolbook"/>
        </w:rPr>
        <w:t>343</w:t>
      </w:r>
      <w:r>
        <w:rPr>
          <w:rFonts w:eastAsia="Century Schoolbook"/>
        </w:rPr>
        <w:fldChar w:fldCharType="end"/>
      </w:r>
      <w:r w:rsidRPr="00036097">
        <w:rPr>
          <w:rFonts w:eastAsia="Century Schoolbook"/>
        </w:rPr>
        <w:t>,</w:t>
      </w:r>
      <w:r w:rsidRPr="009F549F">
        <w:rPr>
          <w:rFonts w:eastAsia="Century Schoolbook"/>
        </w:rPr>
        <w:t xml:space="preserve"> at 276–80</w:t>
      </w:r>
      <w:r w:rsidRPr="00036097">
        <w:rPr>
          <w:rFonts w:eastAsia="Century Schoolbook"/>
        </w:rPr>
        <w:t xml:space="preserve"> (outlining Congress’s attempts to address charitable deductions),</w:t>
      </w:r>
      <w:r w:rsidRPr="009F549F">
        <w:rPr>
          <w:rFonts w:eastAsia="Century Schoolbook"/>
        </w:rPr>
        <w:t xml:space="preserve"> 282–89</w:t>
      </w:r>
      <w:r w:rsidRPr="00036097">
        <w:rPr>
          <w:rFonts w:eastAsia="Century Schoolbook"/>
        </w:rPr>
        <w:t xml:space="preserve"> (outlining administrative costs).</w:t>
      </w:r>
      <w:r w:rsidRPr="009F549F">
        <w:rPr>
          <w:rFonts w:eastAsia="Century Schoolbook"/>
        </w:rPr>
        <w:t xml:space="preserve"> </w:t>
      </w:r>
    </w:p>
  </w:footnote>
  <w:footnote w:id="350">
    <w:p w14:paraId="0B340CB6" w14:textId="04C95357" w:rsidR="006E30B5" w:rsidRPr="009F549F" w:rsidRDefault="006E30B5">
      <w:pPr>
        <w:pBdr>
          <w:top w:val="nil"/>
          <w:left w:val="nil"/>
          <w:bottom w:val="nil"/>
          <w:right w:val="nil"/>
          <w:between w:val="nil"/>
        </w:pBdr>
        <w:rPr>
          <w:rFonts w:eastAsia="Century Schoolbook"/>
          <w:b/>
          <w:color w:val="000000"/>
        </w:rPr>
      </w:pPr>
      <w:r w:rsidRPr="009F549F">
        <w:rPr>
          <w:vertAlign w:val="superscript"/>
        </w:rPr>
        <w:footnoteRef/>
      </w:r>
      <w:r w:rsidRPr="009F549F">
        <w:rPr>
          <w:rFonts w:eastAsia="Century Schoolbook"/>
          <w:color w:val="000000"/>
        </w:rPr>
        <w:t xml:space="preserve"> </w:t>
      </w:r>
      <w:r w:rsidRPr="009F549F">
        <w:rPr>
          <w:rFonts w:eastAsia="Century Schoolbook"/>
          <w:i/>
          <w:color w:val="000000"/>
        </w:rPr>
        <w:t>See supra</w:t>
      </w:r>
      <w:r w:rsidRPr="009F549F">
        <w:rPr>
          <w:rFonts w:eastAsia="Century Schoolbook"/>
          <w:color w:val="000000"/>
        </w:rPr>
        <w:t xml:space="preserve"> note </w:t>
      </w:r>
      <w:r>
        <w:rPr>
          <w:rFonts w:eastAsia="Century Schoolbook"/>
          <w:color w:val="000000"/>
        </w:rPr>
        <w:t>218</w:t>
      </w:r>
      <w:r w:rsidRPr="009F549F">
        <w:rPr>
          <w:rFonts w:eastAsia="Century Schoolbook"/>
          <w:color w:val="000000"/>
        </w:rPr>
        <w:t xml:space="preserve"> and accompanying text.</w:t>
      </w:r>
      <w:r w:rsidRPr="00036097">
        <w:rPr>
          <w:rFonts w:eastAsia="Century Schoolbook"/>
          <w:color w:val="000000"/>
        </w:rPr>
        <w:t xml:space="preserve"> </w:t>
      </w:r>
    </w:p>
  </w:footnote>
  <w:footnote w:id="351">
    <w:p w14:paraId="66D8669A" w14:textId="77777777" w:rsidR="006E30B5" w:rsidRPr="009F549F" w:rsidRDefault="006E30B5">
      <w:pPr>
        <w:pBdr>
          <w:top w:val="nil"/>
          <w:left w:val="nil"/>
          <w:bottom w:val="nil"/>
          <w:right w:val="nil"/>
          <w:between w:val="nil"/>
        </w:pBdr>
        <w:rPr>
          <w:rFonts w:eastAsia="Century Schoolbook"/>
          <w:color w:val="000000"/>
        </w:rPr>
      </w:pPr>
      <w:r w:rsidRPr="009F549F">
        <w:rPr>
          <w:vertAlign w:val="superscript"/>
        </w:rPr>
        <w:footnoteRef/>
      </w:r>
      <w:r w:rsidRPr="009F549F">
        <w:rPr>
          <w:rFonts w:eastAsia="Century Schoolbook"/>
          <w:color w:val="000000"/>
        </w:rPr>
        <w:t xml:space="preserve"> </w:t>
      </w:r>
      <w:r w:rsidRPr="009F549F">
        <w:rPr>
          <w:rFonts w:eastAsia="Century Schoolbook"/>
          <w:i/>
          <w:color w:val="000000"/>
        </w:rPr>
        <w:t>See supra</w:t>
      </w:r>
      <w:r w:rsidRPr="009F549F">
        <w:rPr>
          <w:rFonts w:eastAsia="Century Schoolbook"/>
          <w:color w:val="000000"/>
        </w:rPr>
        <w:t xml:space="preserve"> notes </w:t>
      </w:r>
      <w:r w:rsidRPr="009F549F">
        <w:rPr>
          <w:rFonts w:eastAsia="Century Schoolbook"/>
          <w:color w:val="000000"/>
          <w:highlight w:val="yellow"/>
        </w:rPr>
        <w:t>48–64</w:t>
      </w:r>
      <w:r w:rsidRPr="009F549F">
        <w:rPr>
          <w:rFonts w:eastAsia="Century Schoolbook"/>
          <w:color w:val="000000"/>
        </w:rPr>
        <w:t xml:space="preserve"> and accompanying text.</w:t>
      </w:r>
    </w:p>
  </w:footnote>
  <w:footnote w:id="352">
    <w:p w14:paraId="16E51388" w14:textId="77777777" w:rsidR="006E30B5" w:rsidRPr="009F549F" w:rsidRDefault="006E30B5">
      <w:pPr>
        <w:pBdr>
          <w:top w:val="nil"/>
          <w:left w:val="nil"/>
          <w:bottom w:val="nil"/>
          <w:right w:val="nil"/>
          <w:between w:val="nil"/>
        </w:pBdr>
        <w:rPr>
          <w:rFonts w:eastAsia="Century Schoolbook"/>
          <w:color w:val="000000"/>
        </w:rPr>
      </w:pPr>
      <w:r w:rsidRPr="009F549F">
        <w:rPr>
          <w:vertAlign w:val="superscript"/>
        </w:rPr>
        <w:footnoteRef/>
      </w:r>
      <w:r w:rsidRPr="009F549F">
        <w:rPr>
          <w:rFonts w:eastAsia="Century Schoolbook"/>
          <w:color w:val="000000"/>
        </w:rPr>
        <w:t xml:space="preserve"> </w:t>
      </w:r>
      <w:r w:rsidRPr="009F549F">
        <w:rPr>
          <w:rFonts w:eastAsia="Century Schoolbook"/>
          <w:i/>
          <w:color w:val="000000"/>
        </w:rPr>
        <w:t>See supra</w:t>
      </w:r>
      <w:r w:rsidRPr="009F549F">
        <w:rPr>
          <w:rFonts w:eastAsia="Century Schoolbook"/>
          <w:color w:val="000000"/>
        </w:rPr>
        <w:t xml:space="preserve"> notes </w:t>
      </w:r>
      <w:r w:rsidRPr="009F549F">
        <w:rPr>
          <w:rFonts w:eastAsia="Century Schoolbook"/>
          <w:color w:val="000000"/>
          <w:highlight w:val="yellow"/>
        </w:rPr>
        <w:t>96–102</w:t>
      </w:r>
      <w:r w:rsidRPr="009F549F">
        <w:rPr>
          <w:rFonts w:eastAsia="Century Schoolbook"/>
          <w:color w:val="000000"/>
        </w:rPr>
        <w:t xml:space="preserve"> and accompanying text.</w:t>
      </w:r>
    </w:p>
  </w:footnote>
  <w:footnote w:id="353">
    <w:p w14:paraId="6D2AFAAE" w14:textId="77777777" w:rsidR="006E30B5" w:rsidRPr="009F549F" w:rsidRDefault="006E30B5">
      <w:pPr>
        <w:pBdr>
          <w:top w:val="nil"/>
          <w:left w:val="nil"/>
          <w:bottom w:val="nil"/>
          <w:right w:val="nil"/>
          <w:between w:val="nil"/>
        </w:pBdr>
        <w:rPr>
          <w:rFonts w:eastAsia="Century Schoolbook"/>
          <w:color w:val="000000"/>
        </w:rPr>
      </w:pPr>
      <w:r w:rsidRPr="009F549F">
        <w:rPr>
          <w:vertAlign w:val="superscript"/>
        </w:rPr>
        <w:footnoteRef/>
      </w:r>
      <w:r w:rsidRPr="009F549F">
        <w:rPr>
          <w:rFonts w:eastAsia="Century Schoolbook"/>
          <w:color w:val="000000"/>
        </w:rPr>
        <w:t xml:space="preserve"> </w:t>
      </w:r>
      <w:r w:rsidRPr="009F549F">
        <w:rPr>
          <w:rFonts w:eastAsia="Century Schoolbook"/>
          <w:i/>
          <w:color w:val="000000"/>
        </w:rPr>
        <w:t>See supra</w:t>
      </w:r>
      <w:r w:rsidRPr="009F549F">
        <w:rPr>
          <w:rFonts w:eastAsia="Century Schoolbook"/>
          <w:color w:val="000000"/>
        </w:rPr>
        <w:t xml:space="preserve"> notes </w:t>
      </w:r>
      <w:r w:rsidRPr="009F549F">
        <w:rPr>
          <w:rFonts w:eastAsia="Century Schoolbook"/>
          <w:color w:val="000000"/>
          <w:highlight w:val="yellow"/>
        </w:rPr>
        <w:t>207–217</w:t>
      </w:r>
      <w:r w:rsidRPr="009F549F">
        <w:rPr>
          <w:rFonts w:eastAsia="Century Schoolbook"/>
          <w:color w:val="000000"/>
        </w:rPr>
        <w:t xml:space="preserve"> and accompanying text.</w:t>
      </w:r>
    </w:p>
  </w:footnote>
  <w:footnote w:id="354">
    <w:p w14:paraId="24DFE0D8" w14:textId="13F6A823" w:rsidR="006E30B5" w:rsidRPr="009F549F" w:rsidRDefault="006E30B5">
      <w:pPr>
        <w:rPr>
          <w:rFonts w:eastAsia="Century Schoolbook"/>
        </w:rPr>
      </w:pPr>
      <w:r w:rsidRPr="009F549F">
        <w:rPr>
          <w:vertAlign w:val="superscript"/>
        </w:rPr>
        <w:footnoteRef/>
      </w:r>
      <w:r w:rsidRPr="009F549F">
        <w:rPr>
          <w:rFonts w:eastAsia="Century Schoolbook"/>
        </w:rPr>
        <w:t xml:space="preserve"> Again, this proposal builds on the insight that</w:t>
      </w:r>
      <w:r>
        <w:rPr>
          <w:rFonts w:ascii="Century Schoolbook" w:eastAsia="Century Schoolbook" w:hAnsi="Century Schoolbook" w:cs="Century Schoolbook"/>
          <w:sz w:val="20"/>
          <w:szCs w:val="20"/>
        </w:rPr>
        <w:t xml:space="preserve">—from an ex-ante perspective— </w:t>
      </w:r>
      <w:r w:rsidRPr="009F549F">
        <w:rPr>
          <w:rFonts w:eastAsia="Century Schoolbook"/>
        </w:rPr>
        <w:t xml:space="preserve">wealth taxes are equivalent to taxes on capital income with a deemed rate of return. </w:t>
      </w:r>
      <w:proofErr w:type="spellStart"/>
      <w:r w:rsidRPr="009F549F">
        <w:rPr>
          <w:rFonts w:eastAsia="Century Schoolbook"/>
        </w:rPr>
        <w:t>Kleinbard</w:t>
      </w:r>
      <w:proofErr w:type="spellEnd"/>
      <w:r w:rsidRPr="009F549F">
        <w:rPr>
          <w:rFonts w:eastAsia="Century Schoolbook"/>
        </w:rPr>
        <w:t xml:space="preserve">, </w:t>
      </w:r>
      <w:r w:rsidRPr="009F549F">
        <w:rPr>
          <w:rFonts w:eastAsia="Century Schoolbook"/>
          <w:i/>
        </w:rPr>
        <w:t>supra</w:t>
      </w:r>
      <w:r w:rsidRPr="009F549F">
        <w:rPr>
          <w:rFonts w:eastAsia="Century Schoolbook"/>
        </w:rPr>
        <w:t xml:space="preserve"> note </w:t>
      </w:r>
      <w:r>
        <w:rPr>
          <w:rFonts w:eastAsia="Century Schoolbook"/>
        </w:rPr>
        <w:fldChar w:fldCharType="begin"/>
      </w:r>
      <w:r>
        <w:rPr>
          <w:rFonts w:eastAsia="Century Schoolbook"/>
        </w:rPr>
        <w:instrText xml:space="preserve"> NOTEREF _Ref115471638 \h </w:instrText>
      </w:r>
      <w:r>
        <w:rPr>
          <w:rFonts w:eastAsia="Century Schoolbook"/>
        </w:rPr>
      </w:r>
      <w:r>
        <w:rPr>
          <w:rFonts w:eastAsia="Century Schoolbook"/>
        </w:rPr>
        <w:fldChar w:fldCharType="separate"/>
      </w:r>
      <w:r>
        <w:rPr>
          <w:rFonts w:eastAsia="Century Schoolbook"/>
        </w:rPr>
        <w:t>256</w:t>
      </w:r>
      <w:r>
        <w:rPr>
          <w:rFonts w:eastAsia="Century Schoolbook"/>
        </w:rPr>
        <w:fldChar w:fldCharType="end"/>
      </w:r>
      <w:r w:rsidRPr="00036097">
        <w:rPr>
          <w:rFonts w:eastAsia="Century Schoolbook"/>
        </w:rPr>
        <w:t>,</w:t>
      </w:r>
      <w:r w:rsidRPr="009F549F">
        <w:rPr>
          <w:rFonts w:eastAsia="Century Schoolbook"/>
        </w:rPr>
        <w:t xml:space="preserve"> at 345.</w:t>
      </w:r>
    </w:p>
  </w:footnote>
  <w:footnote w:id="355">
    <w:p w14:paraId="3BC18D38" w14:textId="6C5A1F84" w:rsidR="006E30B5" w:rsidRPr="009F549F" w:rsidRDefault="006E30B5">
      <w:pPr>
        <w:pBdr>
          <w:top w:val="nil"/>
          <w:left w:val="nil"/>
          <w:bottom w:val="nil"/>
          <w:right w:val="nil"/>
          <w:between w:val="nil"/>
        </w:pBdr>
        <w:rPr>
          <w:color w:val="000000"/>
        </w:rPr>
      </w:pPr>
      <w:r w:rsidRPr="009F549F">
        <w:rPr>
          <w:vertAlign w:val="superscript"/>
        </w:rPr>
        <w:footnoteRef/>
      </w:r>
      <w:r w:rsidRPr="009F549F">
        <w:rPr>
          <w:rFonts w:eastAsia="Arial"/>
          <w:color w:val="000000"/>
        </w:rPr>
        <w:t xml:space="preserve"> </w:t>
      </w:r>
      <w:r w:rsidRPr="009F549F">
        <w:rPr>
          <w:rFonts w:eastAsia="Century Schoolbook"/>
          <w:color w:val="000000"/>
        </w:rPr>
        <w:t xml:space="preserve">This is a bit of a departure from the usual tax approach, which would typically track earlier tax payments through an </w:t>
      </w:r>
      <w:r w:rsidRPr="00036097">
        <w:rPr>
          <w:rFonts w:eastAsia="Century Schoolbook"/>
          <w:color w:val="000000"/>
        </w:rPr>
        <w:t>asset’s</w:t>
      </w:r>
      <w:r w:rsidRPr="009F549F">
        <w:rPr>
          <w:rFonts w:eastAsia="Century Schoolbook"/>
          <w:color w:val="000000"/>
        </w:rPr>
        <w:t xml:space="preserve"> basis. I.R.C. </w:t>
      </w:r>
      <w:r w:rsidRPr="00036097">
        <w:rPr>
          <w:rFonts w:eastAsia="Century Schoolbook"/>
          <w:color w:val="000000"/>
        </w:rPr>
        <w:t>§ </w:t>
      </w:r>
      <w:r w:rsidRPr="009F549F">
        <w:rPr>
          <w:rFonts w:eastAsia="Century Schoolbook"/>
          <w:color w:val="000000"/>
        </w:rPr>
        <w:t xml:space="preserve">1012. It </w:t>
      </w:r>
      <w:r w:rsidRPr="00036097">
        <w:rPr>
          <w:rFonts w:eastAsia="Century Schoolbook"/>
          <w:color w:val="000000"/>
        </w:rPr>
        <w:t>does</w:t>
      </w:r>
      <w:r>
        <w:rPr>
          <w:rFonts w:eastAsia="Century Schoolbook"/>
          <w:color w:val="000000"/>
        </w:rPr>
        <w:t xml:space="preserve"> no</w:t>
      </w:r>
      <w:r w:rsidRPr="00036097">
        <w:rPr>
          <w:rFonts w:eastAsia="Century Schoolbook"/>
          <w:color w:val="000000"/>
        </w:rPr>
        <w:t>t</w:t>
      </w:r>
      <w:r w:rsidRPr="009F549F">
        <w:rPr>
          <w:rFonts w:eastAsia="Century Schoolbook"/>
          <w:color w:val="000000"/>
        </w:rPr>
        <w:t xml:space="preserve"> usually matter whether we reduce the amount realized (i.e., the sales price) or increase the basis</w:t>
      </w:r>
      <w:r>
        <w:rPr>
          <w:rFonts w:eastAsia="Century Schoolbook"/>
          <w:color w:val="000000"/>
        </w:rPr>
        <w:t xml:space="preserve"> because </w:t>
      </w:r>
      <w:r w:rsidRPr="009F549F">
        <w:rPr>
          <w:rFonts w:eastAsia="Century Schoolbook"/>
          <w:color w:val="000000"/>
        </w:rPr>
        <w:t xml:space="preserve">those are algebraically equivalent. But </w:t>
      </w:r>
      <w:r>
        <w:rPr>
          <w:rFonts w:eastAsia="Century Schoolbook"/>
          <w:color w:val="000000"/>
        </w:rPr>
        <w:t xml:space="preserve">it matters when applying </w:t>
      </w:r>
      <w:r w:rsidRPr="00036097">
        <w:rPr>
          <w:rFonts w:eastAsia="Century Schoolbook"/>
          <w:color w:val="000000"/>
        </w:rPr>
        <w:t>Land’s</w:t>
      </w:r>
      <w:r w:rsidRPr="009F549F">
        <w:rPr>
          <w:rFonts w:eastAsia="Century Schoolbook"/>
          <w:color w:val="000000"/>
        </w:rPr>
        <w:t xml:space="preserve"> formula, as sales price appears twice in the formula while basis appears only once</w:t>
      </w:r>
      <w:r>
        <w:rPr>
          <w:rFonts w:ascii="Century Schoolbook" w:eastAsia="Century Schoolbook" w:hAnsi="Century Schoolbook" w:cs="Century Schoolbook"/>
          <w:color w:val="000000"/>
          <w:sz w:val="20"/>
          <w:szCs w:val="20"/>
        </w:rPr>
        <w:t xml:space="preserve">. </w:t>
      </w:r>
      <w:r w:rsidRPr="007D6E99">
        <w:rPr>
          <w:rFonts w:ascii="Century Schoolbook" w:eastAsia="Century Schoolbook" w:hAnsi="Century Schoolbook" w:cs="Century Schoolbook"/>
          <w:color w:val="000000"/>
          <w:sz w:val="20"/>
          <w:szCs w:val="20"/>
        </w:rPr>
        <w:t xml:space="preserve">  </w:t>
      </w:r>
    </w:p>
  </w:footnote>
  <w:footnote w:id="356">
    <w:p w14:paraId="0B537384" w14:textId="40E2DA01" w:rsidR="006E30B5" w:rsidRPr="00036097" w:rsidRDefault="006E30B5">
      <w:pPr>
        <w:pBdr>
          <w:top w:val="nil"/>
          <w:left w:val="nil"/>
          <w:bottom w:val="nil"/>
          <w:right w:val="nil"/>
          <w:between w:val="nil"/>
        </w:pBdr>
        <w:rPr>
          <w:rFonts w:eastAsia="Century Schoolbook"/>
          <w:color w:val="000000"/>
        </w:rPr>
      </w:pPr>
      <w:r w:rsidRPr="00036097">
        <w:rPr>
          <w:vertAlign w:val="superscript"/>
        </w:rPr>
        <w:footnoteRef/>
      </w:r>
      <w:r w:rsidRPr="00036097">
        <w:rPr>
          <w:rFonts w:eastAsia="Century Schoolbook"/>
          <w:color w:val="000000"/>
        </w:rPr>
        <w:t xml:space="preserve"> That is, after including adjustments </w:t>
      </w:r>
      <w:r w:rsidRPr="00BB0F04">
        <w:rPr>
          <w:rFonts w:eastAsia="Century Schoolbook"/>
          <w:color w:val="000000"/>
        </w:rPr>
        <w:t>to the sales price for the prepayments, ($</w:t>
      </w:r>
      <w:r>
        <w:rPr>
          <w:rFonts w:eastAsia="Century Schoolbook"/>
          <w:color w:val="000000"/>
        </w:rPr>
        <w:t>1.8</w:t>
      </w:r>
      <w:r w:rsidRPr="009F549F">
        <w:rPr>
          <w:rFonts w:eastAsia="Century Schoolbook"/>
          <w:color w:val="000000"/>
          <w:lang w:val="x-none"/>
        </w:rPr>
        <w:t xml:space="preserve"> billion</w:t>
      </w:r>
      <w:r>
        <w:rPr>
          <w:rFonts w:eastAsia="Century Schoolbook"/>
          <w:color w:val="000000"/>
        </w:rPr>
        <w:t xml:space="preserve"> + $200 million</w:t>
      </w:r>
      <w:r w:rsidRPr="00BB0F04">
        <w:rPr>
          <w:rFonts w:eastAsia="Century Schoolbook"/>
          <w:color w:val="000000"/>
        </w:rPr>
        <w:t xml:space="preserve"> </w:t>
      </w:r>
      <w:r w:rsidRPr="009F549F">
        <w:rPr>
          <w:rFonts w:eastAsia="Century Schoolbook"/>
          <w:color w:val="000000"/>
        </w:rPr>
        <w:t>−</w:t>
      </w:r>
      <w:r w:rsidRPr="00BB0F04">
        <w:rPr>
          <w:rFonts w:eastAsia="Century Schoolbook"/>
          <w:color w:val="000000"/>
        </w:rPr>
        <w:t xml:space="preserve"> $457.6</w:t>
      </w:r>
      <w:r w:rsidRPr="009F549F">
        <w:rPr>
          <w:rFonts w:eastAsia="Century Schoolbook"/>
          <w:color w:val="000000"/>
        </w:rPr>
        <w:t xml:space="preserve"> million</w:t>
      </w:r>
      <w:r w:rsidRPr="00BB0F04">
        <w:rPr>
          <w:rFonts w:eastAsia="Century Schoolbook"/>
          <w:color w:val="000000"/>
        </w:rPr>
        <w:t xml:space="preserve">) </w:t>
      </w:r>
      <w:r w:rsidRPr="009F549F">
        <w:rPr>
          <w:rFonts w:eastAsia="Century Schoolbook"/>
          <w:color w:val="000000"/>
        </w:rPr>
        <w:t>×</w:t>
      </w:r>
      <w:r w:rsidRPr="00BB0F04">
        <w:rPr>
          <w:rFonts w:eastAsia="Century Schoolbook"/>
          <w:color w:val="000000"/>
        </w:rPr>
        <w:t xml:space="preserve"> </w:t>
      </w:r>
      <w:r w:rsidRPr="00BB0F04" w:rsidDel="00F76C87">
        <w:rPr>
          <w:rFonts w:eastAsia="Century Schoolbook"/>
          <w:color w:val="000000"/>
        </w:rPr>
        <w:t>(</w:t>
      </w:r>
      <w:r w:rsidRPr="00BB0F04">
        <w:rPr>
          <w:rFonts w:eastAsia="Century Schoolbook"/>
          <w:color w:val="000000"/>
        </w:rPr>
        <w:t xml:space="preserve">1 </w:t>
      </w:r>
      <w:r w:rsidRPr="009F549F">
        <w:rPr>
          <w:rFonts w:eastAsia="Century Schoolbook"/>
          <w:color w:val="000000"/>
        </w:rPr>
        <w:t>–</w:t>
      </w:r>
      <w:r w:rsidRPr="00BB0F04">
        <w:rPr>
          <w:rFonts w:eastAsia="Century Schoolbook"/>
          <w:color w:val="000000"/>
        </w:rPr>
        <w:t xml:space="preserve"> </w:t>
      </w:r>
      <w:r>
        <w:rPr>
          <w:rFonts w:eastAsia="Century Schoolbook"/>
          <w:color w:val="000000"/>
        </w:rPr>
        <w:t>(</w:t>
      </w:r>
      <w:r w:rsidRPr="009F549F">
        <w:rPr>
          <w:rFonts w:eastAsia="Century Schoolbook"/>
          <w:color w:val="000000"/>
        </w:rPr>
        <w:t>[</w:t>
      </w:r>
      <w:r w:rsidRPr="00BB0F04">
        <w:rPr>
          <w:rFonts w:eastAsia="Century Schoolbook"/>
          <w:color w:val="000000"/>
        </w:rPr>
        <w:t>$</w:t>
      </w:r>
      <w:r>
        <w:rPr>
          <w:rFonts w:eastAsia="Century Schoolbook"/>
          <w:color w:val="000000"/>
        </w:rPr>
        <w:t>1.8</w:t>
      </w:r>
      <w:r w:rsidRPr="009F549F">
        <w:rPr>
          <w:rFonts w:eastAsia="Century Schoolbook"/>
          <w:color w:val="000000"/>
        </w:rPr>
        <w:t xml:space="preserve"> billion</w:t>
      </w:r>
      <w:r>
        <w:rPr>
          <w:rFonts w:eastAsia="Century Schoolbook"/>
          <w:color w:val="000000"/>
        </w:rPr>
        <w:t xml:space="preserve"> + $200 million</w:t>
      </w:r>
      <w:r w:rsidRPr="00BB0F04">
        <w:rPr>
          <w:rFonts w:eastAsia="Century Schoolbook"/>
          <w:color w:val="000000"/>
        </w:rPr>
        <w:t xml:space="preserve"> </w:t>
      </w:r>
      <w:r w:rsidRPr="009F549F">
        <w:rPr>
          <w:rFonts w:eastAsia="Century Schoolbook"/>
          <w:color w:val="000000"/>
        </w:rPr>
        <w:t>−</w:t>
      </w:r>
      <w:r w:rsidRPr="00BB0F04">
        <w:rPr>
          <w:rFonts w:eastAsia="Century Schoolbook"/>
          <w:color w:val="000000"/>
        </w:rPr>
        <w:t xml:space="preserve"> $457.6</w:t>
      </w:r>
      <w:r w:rsidRPr="009F549F">
        <w:rPr>
          <w:rFonts w:eastAsia="Century Schoolbook"/>
          <w:color w:val="000000"/>
        </w:rPr>
        <w:t xml:space="preserve"> million</w:t>
      </w:r>
      <w:r>
        <w:rPr>
          <w:rFonts w:eastAsia="Century Schoolbook"/>
          <w:color w:val="000000"/>
        </w:rPr>
        <w:t>]</w:t>
      </w:r>
      <w:r w:rsidRPr="00BB0F04">
        <w:rPr>
          <w:rFonts w:eastAsia="Century Schoolbook"/>
          <w:color w:val="000000"/>
        </w:rPr>
        <w:t>/$1</w:t>
      </w:r>
      <w:r w:rsidRPr="009F549F">
        <w:rPr>
          <w:rFonts w:eastAsia="Century Schoolbook"/>
          <w:color w:val="000000"/>
        </w:rPr>
        <w:t xml:space="preserve"> billion</w:t>
      </w:r>
      <w:r w:rsidRPr="00BB0F04" w:rsidDel="00F76C87">
        <w:rPr>
          <w:rFonts w:eastAsia="Century Schoolbook"/>
          <w:color w:val="000000"/>
        </w:rPr>
        <w:t>)</w:t>
      </w:r>
      <w:r w:rsidRPr="00BB0F04">
        <w:rPr>
          <w:rFonts w:eastAsia="Century Schoolbook"/>
          <w:color w:val="000000"/>
          <w:vertAlign w:val="superscript"/>
        </w:rPr>
        <w:t>-</w:t>
      </w:r>
      <w:r w:rsidRPr="009F549F">
        <w:rPr>
          <w:rFonts w:eastAsia="Century Schoolbook"/>
          <w:color w:val="000000"/>
          <w:vertAlign w:val="superscript"/>
        </w:rPr>
        <w:t>0</w:t>
      </w:r>
      <w:r w:rsidRPr="00BB0F04">
        <w:rPr>
          <w:rFonts w:eastAsia="Century Schoolbook"/>
          <w:color w:val="000000"/>
          <w:vertAlign w:val="superscript"/>
        </w:rPr>
        <w:t>.2</w:t>
      </w:r>
      <w:r w:rsidRPr="00BB0F04" w:rsidDel="00F76C87">
        <w:rPr>
          <w:rFonts w:eastAsia="Century Schoolbook"/>
          <w:color w:val="000000"/>
        </w:rPr>
        <w:t>)</w:t>
      </w:r>
      <w:r w:rsidRPr="00BB0F04">
        <w:rPr>
          <w:rFonts w:eastAsia="Century Schoolbook"/>
          <w:color w:val="000000"/>
        </w:rPr>
        <w:t>, as derived from Land’s formula.</w:t>
      </w:r>
    </w:p>
  </w:footnote>
  <w:footnote w:id="357">
    <w:p w14:paraId="4588AB4C" w14:textId="491317C9" w:rsidR="00BD64E3" w:rsidRPr="009F549F" w:rsidRDefault="00BD64E3">
      <w:pPr>
        <w:pStyle w:val="FootnoteText"/>
        <w:rPr>
          <w:lang w:val="en-US"/>
        </w:rPr>
      </w:pPr>
      <w:r>
        <w:rPr>
          <w:rStyle w:val="FootnoteReference"/>
        </w:rPr>
        <w:footnoteRef/>
      </w:r>
      <w:r>
        <w:t xml:space="preserve"> The large re</w:t>
      </w:r>
      <w:r w:rsidR="00594E74">
        <w:t>fund</w:t>
      </w:r>
      <w:r>
        <w:t xml:space="preserve"> </w:t>
      </w:r>
      <w:r w:rsidR="00594E74">
        <w:t>here</w:t>
      </w:r>
      <w:r>
        <w:t xml:space="preserve"> is because basis recovery</w:t>
      </w:r>
      <w:r w:rsidR="00594E74">
        <w:t xml:space="preserve"> is delayed</w:t>
      </w:r>
      <w:r>
        <w:t xml:space="preserve"> until the year of final resolution of the ULTRA (2024).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0E9DE9" w14:textId="77777777" w:rsidR="006E30B5" w:rsidRDefault="006E30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79CD22" w14:textId="77777777" w:rsidR="006E30B5" w:rsidRDefault="006E30B5">
    <w:pPr>
      <w:tabs>
        <w:tab w:val="center" w:pos="3870"/>
        <w:tab w:val="center" w:pos="7920"/>
      </w:tabs>
      <w:rPr>
        <w:rFonts w:eastAsia="Calibri"/>
      </w:rPr>
    </w:pPr>
    <w:r w:rsidRPr="009F549F">
      <w:rPr>
        <w:rFonts w:eastAsia="Century Schoolbook"/>
      </w:rPr>
      <w:fldChar w:fldCharType="begin"/>
    </w:r>
    <w:r w:rsidRPr="009F549F">
      <w:rPr>
        <w:rFonts w:eastAsia="Century Schoolbook"/>
      </w:rPr>
      <w:instrText>PAGE</w:instrText>
    </w:r>
    <w:r w:rsidRPr="009F549F">
      <w:rPr>
        <w:rFonts w:eastAsia="Century Schoolbook"/>
      </w:rPr>
      <w:fldChar w:fldCharType="separate"/>
    </w:r>
    <w:r>
      <w:rPr>
        <w:rFonts w:eastAsia="Century Schoolbook"/>
        <w:noProof/>
      </w:rPr>
      <w:t>100</w:t>
    </w:r>
    <w:r w:rsidRPr="009F549F">
      <w:rPr>
        <w:rFonts w:eastAsia="Century Schoolbook"/>
      </w:rPr>
      <w:fldChar w:fldCharType="end"/>
    </w:r>
  </w:p>
  <w:sdt>
    <w:sdtPr>
      <w:rPr>
        <w:rFonts w:eastAsia="Calibri"/>
      </w:rPr>
      <w:id w:val="14929001"/>
      <w:docPartObj>
        <w:docPartGallery w:val="Page Numbers (Top of Page)"/>
        <w:docPartUnique/>
      </w:docPartObj>
    </w:sdtPr>
    <w:sdtEndPr/>
    <w:sdtContent>
      <w:p w14:paraId="72F56FA1" w14:textId="57429EFF" w:rsidR="006E30B5" w:rsidRPr="00361C47" w:rsidRDefault="006E30B5">
        <w:pPr>
          <w:tabs>
            <w:tab w:val="center" w:pos="3870"/>
            <w:tab w:val="center" w:pos="7920"/>
          </w:tabs>
        </w:pPr>
        <w:r w:rsidRPr="00B715C0">
          <w:rPr>
            <w:rFonts w:ascii="Century Schoolbook" w:eastAsia="Calibri" w:hAnsi="Century Schoolbook"/>
          </w:rPr>
          <w:fldChar w:fldCharType="begin"/>
        </w:r>
        <w:r w:rsidRPr="00B715C0">
          <w:rPr>
            <w:rFonts w:ascii="Century Schoolbook" w:eastAsia="Calibri" w:hAnsi="Century Schoolbook"/>
          </w:rPr>
          <w:instrText xml:space="preserve"> PAGE   \* MERGEFORMAT </w:instrText>
        </w:r>
        <w:r w:rsidRPr="00B715C0">
          <w:rPr>
            <w:rFonts w:ascii="Century Schoolbook" w:eastAsia="Calibri" w:hAnsi="Century Schoolbook"/>
          </w:rPr>
          <w:fldChar w:fldCharType="separate"/>
        </w:r>
        <w:r>
          <w:rPr>
            <w:rFonts w:ascii="Century Schoolbook" w:eastAsia="Calibri" w:hAnsi="Century Schoolbook"/>
            <w:noProof/>
          </w:rPr>
          <w:t>26</w:t>
        </w:r>
        <w:r w:rsidRPr="00B715C0">
          <w:rPr>
            <w:rFonts w:ascii="Century Schoolbook" w:eastAsia="Calibri" w:hAnsi="Century Schoolbook"/>
            <w:noProof/>
          </w:rPr>
          <w:fldChar w:fldCharType="end"/>
        </w:r>
        <w:r w:rsidRPr="009F549F">
          <w:rPr>
            <w:rFonts w:eastAsia="Century Schoolbook"/>
          </w:rPr>
          <w:tab/>
        </w:r>
        <w:r w:rsidRPr="009F549F">
          <w:rPr>
            <w:rFonts w:eastAsia="Century Schoolbook"/>
            <w:smallCaps/>
          </w:rPr>
          <w:t xml:space="preserve">Galle, Gamage &amp; </w:t>
        </w:r>
        <w:proofErr w:type="spellStart"/>
        <w:r w:rsidRPr="009F549F">
          <w:rPr>
            <w:rFonts w:eastAsia="Century Schoolbook"/>
            <w:smallCaps/>
          </w:rPr>
          <w:t>Shanske</w:t>
        </w:r>
        <w:proofErr w:type="spellEnd"/>
        <w:r w:rsidRPr="00361C47">
          <w:tab/>
        </w:r>
      </w:p>
    </w:sdtContent>
  </w:sdt>
  <w:p w14:paraId="4CC870EB" w14:textId="77777777" w:rsidR="006E30B5" w:rsidRPr="009F549F" w:rsidRDefault="006E30B5" w:rsidP="009F549F">
    <w:pPr>
      <w:pStyle w:val="Header"/>
      <w:rPr>
        <w:rFonts w:eastAsia="Century Schoolbook"/>
        <w:color w:val="000000"/>
      </w:rPr>
    </w:pPr>
  </w:p>
  <w:p w14:paraId="40A0C3E8" w14:textId="77777777" w:rsidR="006E30B5" w:rsidRPr="00361C47" w:rsidRDefault="006E30B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E20255" w14:textId="4C9D1E0C" w:rsidR="006E30B5" w:rsidRPr="009F549F" w:rsidRDefault="006E30B5">
    <w:pPr>
      <w:tabs>
        <w:tab w:val="center" w:pos="3960"/>
        <w:tab w:val="right" w:pos="7920"/>
      </w:tabs>
      <w:rPr>
        <w:rFonts w:eastAsia="Century Schoolbook"/>
        <w:smallCaps/>
      </w:rPr>
    </w:pPr>
    <w:r w:rsidRPr="00361C47">
      <w:tab/>
    </w:r>
    <w:r w:rsidRPr="009F549F">
      <w:rPr>
        <w:rFonts w:eastAsia="Century Schoolbook"/>
        <w:smallCaps/>
      </w:rPr>
      <w:t>Valuation Challenge</w:t>
    </w:r>
    <w:r w:rsidRPr="009F549F">
      <w:rPr>
        <w:rFonts w:eastAsia="Century Schoolbook"/>
        <w:smallCaps/>
      </w:rPr>
      <w:tab/>
    </w:r>
    <w:r w:rsidRPr="00C124D4">
      <w:rPr>
        <w:rFonts w:ascii="Century Schoolbook" w:eastAsia="Calibri" w:hAnsi="Century Schoolbook"/>
      </w:rPr>
      <w:fldChar w:fldCharType="begin"/>
    </w:r>
    <w:r w:rsidRPr="00C124D4">
      <w:rPr>
        <w:rFonts w:ascii="Century Schoolbook" w:eastAsia="Calibri" w:hAnsi="Century Schoolbook"/>
      </w:rPr>
      <w:instrText xml:space="preserve"> PAGE   \* MERGEFORMAT </w:instrText>
    </w:r>
    <w:r w:rsidRPr="00C124D4">
      <w:rPr>
        <w:rFonts w:ascii="Century Schoolbook" w:eastAsia="Calibri" w:hAnsi="Century Schoolbook"/>
      </w:rPr>
      <w:fldChar w:fldCharType="separate"/>
    </w:r>
    <w:r>
      <w:rPr>
        <w:rFonts w:ascii="Century Schoolbook" w:eastAsia="Calibri" w:hAnsi="Century Schoolbook"/>
        <w:noProof/>
      </w:rPr>
      <w:t>27</w:t>
    </w:r>
    <w:r w:rsidRPr="00C124D4">
      <w:rPr>
        <w:rFonts w:ascii="Century Schoolbook" w:eastAsia="Calibri" w:hAnsi="Century Schoolbook"/>
        <w:noProof/>
      </w:rPr>
      <w:fldChar w:fldCharType="end"/>
    </w:r>
    <w:r w:rsidRPr="009F549F">
      <w:rPr>
        <w:rFonts w:eastAsia="Century Schoolbook"/>
      </w:rPr>
      <w:fldChar w:fldCharType="begin"/>
    </w:r>
    <w:r w:rsidRPr="009F549F">
      <w:rPr>
        <w:rFonts w:eastAsia="Century Schoolbook"/>
      </w:rPr>
      <w:instrText>PAGE</w:instrText>
    </w:r>
    <w:r w:rsidRPr="009F549F">
      <w:rPr>
        <w:rFonts w:eastAsia="Century Schoolbook"/>
      </w:rPr>
      <w:fldChar w:fldCharType="separate"/>
    </w:r>
    <w:r>
      <w:rPr>
        <w:rFonts w:eastAsia="Century Schoolbook"/>
        <w:noProof/>
      </w:rPr>
      <w:t>103</w:t>
    </w:r>
    <w:r w:rsidRPr="009F549F">
      <w:rPr>
        <w:rFonts w:eastAsia="Century Schoolbook"/>
      </w:rPr>
      <w:fldChar w:fldCharType="end"/>
    </w:r>
  </w:p>
  <w:p w14:paraId="6E807907" w14:textId="77777777" w:rsidR="006E30B5" w:rsidRPr="009F549F" w:rsidRDefault="006E30B5" w:rsidP="009F549F">
    <w:pPr>
      <w:pStyle w:val="Header"/>
      <w:rPr>
        <w:rFonts w:ascii="Century Schoolbook" w:eastAsia="Century Schoolbook" w:hAnsi="Century Schoolbook"/>
      </w:rPr>
    </w:pPr>
  </w:p>
  <w:p w14:paraId="51AFEF03" w14:textId="77777777" w:rsidR="006E30B5" w:rsidRDefault="006E30B5"/>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022BB8" w14:textId="77777777" w:rsidR="006E30B5" w:rsidRDefault="006E30B5">
    <w:pPr>
      <w:tabs>
        <w:tab w:val="center" w:pos="3870"/>
        <w:tab w:val="center" w:pos="7920"/>
      </w:tabs>
    </w:pPr>
    <w:r>
      <w:rPr>
        <w:rFonts w:ascii="Century Schoolbook" w:eastAsia="Century Schoolbook" w:hAnsi="Century Schoolbook" w:cs="Century Schoolbook"/>
      </w:rPr>
      <w:fldChar w:fldCharType="begin"/>
    </w:r>
    <w:r>
      <w:rPr>
        <w:rFonts w:ascii="Century Schoolbook" w:eastAsia="Century Schoolbook" w:hAnsi="Century Schoolbook" w:cs="Century Schoolbook"/>
      </w:rPr>
      <w:instrText>PAGE</w:instrText>
    </w:r>
    <w:r>
      <w:rPr>
        <w:rFonts w:ascii="Century Schoolbook" w:eastAsia="Century Schoolbook" w:hAnsi="Century Schoolbook" w:cs="Century Schoolbook"/>
      </w:rPr>
      <w:fldChar w:fldCharType="separate"/>
    </w:r>
    <w:r w:rsidR="00FD2F91">
      <w:rPr>
        <w:rFonts w:ascii="Century Schoolbook" w:eastAsia="Century Schoolbook" w:hAnsi="Century Schoolbook" w:cs="Century Schoolbook"/>
        <w:noProof/>
      </w:rPr>
      <w:t>94</w:t>
    </w:r>
    <w:r>
      <w:rPr>
        <w:rFonts w:ascii="Century Schoolbook" w:eastAsia="Century Schoolbook" w:hAnsi="Century Schoolbook" w:cs="Century Schoolbook"/>
      </w:rPr>
      <w:fldChar w:fldCharType="end"/>
    </w:r>
    <w:r>
      <w:rPr>
        <w:rFonts w:ascii="Century Schoolbook" w:eastAsia="Century Schoolbook" w:hAnsi="Century Schoolbook" w:cs="Century Schoolbook"/>
      </w:rPr>
      <w:tab/>
    </w:r>
    <w:r>
      <w:rPr>
        <w:rFonts w:ascii="Century Schoolbook" w:eastAsia="Century Schoolbook" w:hAnsi="Century Schoolbook" w:cs="Century Schoolbook"/>
        <w:smallCaps/>
      </w:rPr>
      <w:t>Galle, Gamage, &amp; Shanske</w:t>
    </w:r>
    <w:r>
      <w:tab/>
    </w:r>
  </w:p>
  <w:p w14:paraId="73541007" w14:textId="77777777" w:rsidR="006E30B5" w:rsidRDefault="006E30B5">
    <w:pPr>
      <w:pBdr>
        <w:top w:val="nil"/>
        <w:left w:val="nil"/>
        <w:bottom w:val="nil"/>
        <w:right w:val="nil"/>
        <w:between w:val="nil"/>
      </w:pBdr>
      <w:tabs>
        <w:tab w:val="center" w:pos="4680"/>
        <w:tab w:val="right" w:pos="9360"/>
      </w:tabs>
      <w:rPr>
        <w:rFonts w:ascii="Century Schoolbook" w:eastAsia="Century Schoolbook" w:hAnsi="Century Schoolbook" w:cs="Century Schoolbook"/>
        <w:color w:val="000000"/>
      </w:rPr>
    </w:pPr>
  </w:p>
  <w:p w14:paraId="13C31331" w14:textId="77777777" w:rsidR="006E30B5" w:rsidRDefault="006E30B5" w:rsidP="009F549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F7C2BE" w14:textId="77777777" w:rsidR="006E30B5" w:rsidRDefault="006E30B5">
    <w:pPr>
      <w:tabs>
        <w:tab w:val="center" w:pos="3960"/>
        <w:tab w:val="right" w:pos="7920"/>
      </w:tabs>
      <w:rPr>
        <w:rFonts w:ascii="Century Schoolbook" w:eastAsia="Century Schoolbook" w:hAnsi="Century Schoolbook" w:cs="Century Schoolbook"/>
        <w:smallCaps/>
      </w:rPr>
    </w:pPr>
    <w:r>
      <w:tab/>
    </w:r>
    <w:r>
      <w:rPr>
        <w:rFonts w:ascii="Century Schoolbook" w:eastAsia="Century Schoolbook" w:hAnsi="Century Schoolbook" w:cs="Century Schoolbook"/>
        <w:smallCaps/>
      </w:rPr>
      <w:t>Valuation Challenge</w:t>
    </w:r>
    <w:r>
      <w:rPr>
        <w:rFonts w:ascii="Century Schoolbook" w:eastAsia="Century Schoolbook" w:hAnsi="Century Schoolbook" w:cs="Century Schoolbook"/>
        <w:smallCaps/>
      </w:rPr>
      <w:tab/>
    </w:r>
    <w:r>
      <w:rPr>
        <w:rFonts w:ascii="Century Schoolbook" w:eastAsia="Century Schoolbook" w:hAnsi="Century Schoolbook" w:cs="Century Schoolbook"/>
      </w:rPr>
      <w:fldChar w:fldCharType="begin"/>
    </w:r>
    <w:r>
      <w:rPr>
        <w:rFonts w:ascii="Century Schoolbook" w:eastAsia="Century Schoolbook" w:hAnsi="Century Schoolbook" w:cs="Century Schoolbook"/>
      </w:rPr>
      <w:instrText>PAGE</w:instrText>
    </w:r>
    <w:r>
      <w:rPr>
        <w:rFonts w:ascii="Century Schoolbook" w:eastAsia="Century Schoolbook" w:hAnsi="Century Schoolbook" w:cs="Century Schoolbook"/>
      </w:rPr>
      <w:fldChar w:fldCharType="separate"/>
    </w:r>
    <w:r w:rsidR="00FD2F91">
      <w:rPr>
        <w:rFonts w:ascii="Century Schoolbook" w:eastAsia="Century Schoolbook" w:hAnsi="Century Schoolbook" w:cs="Century Schoolbook"/>
        <w:noProof/>
      </w:rPr>
      <w:t>107</w:t>
    </w:r>
    <w:r>
      <w:rPr>
        <w:rFonts w:ascii="Century Schoolbook" w:eastAsia="Century Schoolbook" w:hAnsi="Century Schoolbook" w:cs="Century Schoolbook"/>
      </w:rPr>
      <w:fldChar w:fldCharType="end"/>
    </w:r>
  </w:p>
  <w:p w14:paraId="0DF6E9F0" w14:textId="77777777" w:rsidR="006E30B5" w:rsidRDefault="006E30B5">
    <w:pPr>
      <w:pBdr>
        <w:top w:val="nil"/>
        <w:left w:val="nil"/>
        <w:bottom w:val="nil"/>
        <w:right w:val="nil"/>
        <w:between w:val="nil"/>
      </w:pBdr>
      <w:tabs>
        <w:tab w:val="center" w:pos="4680"/>
        <w:tab w:val="right" w:pos="9360"/>
      </w:tabs>
      <w:rPr>
        <w:rFonts w:ascii="Century Schoolbook" w:eastAsia="Century Schoolbook" w:hAnsi="Century Schoolbook" w:cs="Century Schoolbook"/>
        <w:color w:val="000000"/>
      </w:rPr>
    </w:pPr>
  </w:p>
  <w:p w14:paraId="2296CF6E" w14:textId="77777777" w:rsidR="006E30B5" w:rsidRDefault="006E30B5" w:rsidP="009F54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83305"/>
    <w:multiLevelType w:val="multilevel"/>
    <w:tmpl w:val="267E0B6A"/>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1AB4EB4"/>
    <w:multiLevelType w:val="multilevel"/>
    <w:tmpl w:val="09AAFA60"/>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344"/>
    <w:rsid w:val="00000C97"/>
    <w:rsid w:val="00001A91"/>
    <w:rsid w:val="00001DE3"/>
    <w:rsid w:val="00002367"/>
    <w:rsid w:val="00002645"/>
    <w:rsid w:val="00002C59"/>
    <w:rsid w:val="000031AE"/>
    <w:rsid w:val="00003597"/>
    <w:rsid w:val="00003D0C"/>
    <w:rsid w:val="00005386"/>
    <w:rsid w:val="00005567"/>
    <w:rsid w:val="0000560F"/>
    <w:rsid w:val="00006497"/>
    <w:rsid w:val="00006EAA"/>
    <w:rsid w:val="000072A5"/>
    <w:rsid w:val="000072E9"/>
    <w:rsid w:val="00007A15"/>
    <w:rsid w:val="00007CF6"/>
    <w:rsid w:val="00007DA1"/>
    <w:rsid w:val="000102B7"/>
    <w:rsid w:val="000102C0"/>
    <w:rsid w:val="00010709"/>
    <w:rsid w:val="000109A1"/>
    <w:rsid w:val="00010C44"/>
    <w:rsid w:val="00010F15"/>
    <w:rsid w:val="00010F2A"/>
    <w:rsid w:val="000112D3"/>
    <w:rsid w:val="00011901"/>
    <w:rsid w:val="000119F3"/>
    <w:rsid w:val="00011C3E"/>
    <w:rsid w:val="00012125"/>
    <w:rsid w:val="000126F3"/>
    <w:rsid w:val="00012D9C"/>
    <w:rsid w:val="00012FB2"/>
    <w:rsid w:val="0001304F"/>
    <w:rsid w:val="000134C7"/>
    <w:rsid w:val="00013DEF"/>
    <w:rsid w:val="0001573A"/>
    <w:rsid w:val="0001616B"/>
    <w:rsid w:val="00016182"/>
    <w:rsid w:val="00017EB7"/>
    <w:rsid w:val="000200AA"/>
    <w:rsid w:val="00020C3E"/>
    <w:rsid w:val="00020ECC"/>
    <w:rsid w:val="00022247"/>
    <w:rsid w:val="000224E7"/>
    <w:rsid w:val="000226A8"/>
    <w:rsid w:val="00023611"/>
    <w:rsid w:val="00024853"/>
    <w:rsid w:val="00024E30"/>
    <w:rsid w:val="00025645"/>
    <w:rsid w:val="000257E6"/>
    <w:rsid w:val="000258C3"/>
    <w:rsid w:val="00025E3D"/>
    <w:rsid w:val="000265A6"/>
    <w:rsid w:val="00026DC8"/>
    <w:rsid w:val="00026F72"/>
    <w:rsid w:val="00027CD0"/>
    <w:rsid w:val="00027D96"/>
    <w:rsid w:val="00027D97"/>
    <w:rsid w:val="000303C4"/>
    <w:rsid w:val="0003071C"/>
    <w:rsid w:val="00030903"/>
    <w:rsid w:val="00030EC4"/>
    <w:rsid w:val="00031761"/>
    <w:rsid w:val="00031D5E"/>
    <w:rsid w:val="00031E95"/>
    <w:rsid w:val="000321DB"/>
    <w:rsid w:val="00032C15"/>
    <w:rsid w:val="00032C99"/>
    <w:rsid w:val="00033296"/>
    <w:rsid w:val="0003337A"/>
    <w:rsid w:val="00033B88"/>
    <w:rsid w:val="00033BCD"/>
    <w:rsid w:val="00034097"/>
    <w:rsid w:val="0003420B"/>
    <w:rsid w:val="00034C45"/>
    <w:rsid w:val="00035768"/>
    <w:rsid w:val="00035B4C"/>
    <w:rsid w:val="00035C52"/>
    <w:rsid w:val="00035F49"/>
    <w:rsid w:val="0003607A"/>
    <w:rsid w:val="00036097"/>
    <w:rsid w:val="00036242"/>
    <w:rsid w:val="00036AC5"/>
    <w:rsid w:val="00036AFF"/>
    <w:rsid w:val="00036D3F"/>
    <w:rsid w:val="00036F06"/>
    <w:rsid w:val="00036F8F"/>
    <w:rsid w:val="000375A3"/>
    <w:rsid w:val="00037D6F"/>
    <w:rsid w:val="00040F44"/>
    <w:rsid w:val="00041D4D"/>
    <w:rsid w:val="00041FE1"/>
    <w:rsid w:val="00042B70"/>
    <w:rsid w:val="0004336A"/>
    <w:rsid w:val="00043B3D"/>
    <w:rsid w:val="00043BD3"/>
    <w:rsid w:val="0004448D"/>
    <w:rsid w:val="00045B04"/>
    <w:rsid w:val="0004648D"/>
    <w:rsid w:val="00046728"/>
    <w:rsid w:val="0004739D"/>
    <w:rsid w:val="000473BC"/>
    <w:rsid w:val="00050682"/>
    <w:rsid w:val="00050C20"/>
    <w:rsid w:val="00050DE3"/>
    <w:rsid w:val="000523AF"/>
    <w:rsid w:val="0005298C"/>
    <w:rsid w:val="000529DF"/>
    <w:rsid w:val="00052BB3"/>
    <w:rsid w:val="00052FE5"/>
    <w:rsid w:val="00054976"/>
    <w:rsid w:val="00055767"/>
    <w:rsid w:val="0005590D"/>
    <w:rsid w:val="00055A9A"/>
    <w:rsid w:val="00055B87"/>
    <w:rsid w:val="00056320"/>
    <w:rsid w:val="000567AF"/>
    <w:rsid w:val="00056E04"/>
    <w:rsid w:val="00057E87"/>
    <w:rsid w:val="000608F8"/>
    <w:rsid w:val="00060AA5"/>
    <w:rsid w:val="00060BBF"/>
    <w:rsid w:val="00060E52"/>
    <w:rsid w:val="000611B1"/>
    <w:rsid w:val="0006128C"/>
    <w:rsid w:val="00061A3F"/>
    <w:rsid w:val="00062883"/>
    <w:rsid w:val="00062FF0"/>
    <w:rsid w:val="00063106"/>
    <w:rsid w:val="00063824"/>
    <w:rsid w:val="00063B55"/>
    <w:rsid w:val="00063BB4"/>
    <w:rsid w:val="000641CB"/>
    <w:rsid w:val="000646DB"/>
    <w:rsid w:val="00064A01"/>
    <w:rsid w:val="0006534F"/>
    <w:rsid w:val="0006556C"/>
    <w:rsid w:val="000661C4"/>
    <w:rsid w:val="00066E7A"/>
    <w:rsid w:val="00066FD7"/>
    <w:rsid w:val="0006776B"/>
    <w:rsid w:val="00067E4A"/>
    <w:rsid w:val="00070C7B"/>
    <w:rsid w:val="0007165F"/>
    <w:rsid w:val="000716E1"/>
    <w:rsid w:val="00071B85"/>
    <w:rsid w:val="00072035"/>
    <w:rsid w:val="0007278A"/>
    <w:rsid w:val="00072BC5"/>
    <w:rsid w:val="00072EB2"/>
    <w:rsid w:val="00073A6A"/>
    <w:rsid w:val="00074CD3"/>
    <w:rsid w:val="0007619E"/>
    <w:rsid w:val="00076577"/>
    <w:rsid w:val="00076A98"/>
    <w:rsid w:val="0007723A"/>
    <w:rsid w:val="00077298"/>
    <w:rsid w:val="00080A34"/>
    <w:rsid w:val="00081420"/>
    <w:rsid w:val="000818D5"/>
    <w:rsid w:val="000826DF"/>
    <w:rsid w:val="00082B66"/>
    <w:rsid w:val="00082FFE"/>
    <w:rsid w:val="00083137"/>
    <w:rsid w:val="000835C3"/>
    <w:rsid w:val="000839D6"/>
    <w:rsid w:val="00083AC2"/>
    <w:rsid w:val="000843AB"/>
    <w:rsid w:val="00084697"/>
    <w:rsid w:val="00084815"/>
    <w:rsid w:val="000848B8"/>
    <w:rsid w:val="00084E62"/>
    <w:rsid w:val="0008518E"/>
    <w:rsid w:val="00085306"/>
    <w:rsid w:val="00085439"/>
    <w:rsid w:val="00085945"/>
    <w:rsid w:val="0008602B"/>
    <w:rsid w:val="00086470"/>
    <w:rsid w:val="00086764"/>
    <w:rsid w:val="00086A4A"/>
    <w:rsid w:val="00086DDC"/>
    <w:rsid w:val="0008713B"/>
    <w:rsid w:val="000876D1"/>
    <w:rsid w:val="00087EFF"/>
    <w:rsid w:val="000901C8"/>
    <w:rsid w:val="00090372"/>
    <w:rsid w:val="00090709"/>
    <w:rsid w:val="000911A5"/>
    <w:rsid w:val="0009140A"/>
    <w:rsid w:val="00091DE6"/>
    <w:rsid w:val="0009200A"/>
    <w:rsid w:val="000921F8"/>
    <w:rsid w:val="0009255D"/>
    <w:rsid w:val="00092BD0"/>
    <w:rsid w:val="00092FC6"/>
    <w:rsid w:val="00093270"/>
    <w:rsid w:val="0009375B"/>
    <w:rsid w:val="00094B0D"/>
    <w:rsid w:val="00094EF3"/>
    <w:rsid w:val="0009563A"/>
    <w:rsid w:val="000957F7"/>
    <w:rsid w:val="00095F48"/>
    <w:rsid w:val="00096203"/>
    <w:rsid w:val="00096235"/>
    <w:rsid w:val="000970DF"/>
    <w:rsid w:val="00097DF3"/>
    <w:rsid w:val="000A0392"/>
    <w:rsid w:val="000A0715"/>
    <w:rsid w:val="000A0F90"/>
    <w:rsid w:val="000A1C7D"/>
    <w:rsid w:val="000A36B4"/>
    <w:rsid w:val="000A3DA7"/>
    <w:rsid w:val="000A3E24"/>
    <w:rsid w:val="000A3F02"/>
    <w:rsid w:val="000A4352"/>
    <w:rsid w:val="000A43C1"/>
    <w:rsid w:val="000A4723"/>
    <w:rsid w:val="000A495D"/>
    <w:rsid w:val="000A4B22"/>
    <w:rsid w:val="000A4C55"/>
    <w:rsid w:val="000A583B"/>
    <w:rsid w:val="000A5D69"/>
    <w:rsid w:val="000A5D72"/>
    <w:rsid w:val="000A6496"/>
    <w:rsid w:val="000A71D2"/>
    <w:rsid w:val="000A7598"/>
    <w:rsid w:val="000A7930"/>
    <w:rsid w:val="000B00DC"/>
    <w:rsid w:val="000B011B"/>
    <w:rsid w:val="000B0F05"/>
    <w:rsid w:val="000B1031"/>
    <w:rsid w:val="000B1177"/>
    <w:rsid w:val="000B131E"/>
    <w:rsid w:val="000B1591"/>
    <w:rsid w:val="000B1C24"/>
    <w:rsid w:val="000B218F"/>
    <w:rsid w:val="000B2F39"/>
    <w:rsid w:val="000B3132"/>
    <w:rsid w:val="000B33B3"/>
    <w:rsid w:val="000B34D5"/>
    <w:rsid w:val="000B3C59"/>
    <w:rsid w:val="000B4626"/>
    <w:rsid w:val="000B47AB"/>
    <w:rsid w:val="000B4C6C"/>
    <w:rsid w:val="000B4E81"/>
    <w:rsid w:val="000B5A27"/>
    <w:rsid w:val="000B5B17"/>
    <w:rsid w:val="000B6821"/>
    <w:rsid w:val="000B69DB"/>
    <w:rsid w:val="000B6C30"/>
    <w:rsid w:val="000B71EF"/>
    <w:rsid w:val="000B784B"/>
    <w:rsid w:val="000B7A90"/>
    <w:rsid w:val="000B7B9D"/>
    <w:rsid w:val="000C0103"/>
    <w:rsid w:val="000C012A"/>
    <w:rsid w:val="000C0328"/>
    <w:rsid w:val="000C06A5"/>
    <w:rsid w:val="000C0DF5"/>
    <w:rsid w:val="000C1CA1"/>
    <w:rsid w:val="000C1F95"/>
    <w:rsid w:val="000C2EC6"/>
    <w:rsid w:val="000C3202"/>
    <w:rsid w:val="000C335D"/>
    <w:rsid w:val="000C3903"/>
    <w:rsid w:val="000C3AA3"/>
    <w:rsid w:val="000C3CD6"/>
    <w:rsid w:val="000C40FA"/>
    <w:rsid w:val="000C4B04"/>
    <w:rsid w:val="000C4FF5"/>
    <w:rsid w:val="000C514D"/>
    <w:rsid w:val="000C534C"/>
    <w:rsid w:val="000C5402"/>
    <w:rsid w:val="000C5407"/>
    <w:rsid w:val="000C6740"/>
    <w:rsid w:val="000C686A"/>
    <w:rsid w:val="000C7100"/>
    <w:rsid w:val="000C737B"/>
    <w:rsid w:val="000C769D"/>
    <w:rsid w:val="000D03AE"/>
    <w:rsid w:val="000D040B"/>
    <w:rsid w:val="000D09BB"/>
    <w:rsid w:val="000D0A38"/>
    <w:rsid w:val="000D0E01"/>
    <w:rsid w:val="000D0E7E"/>
    <w:rsid w:val="000D198E"/>
    <w:rsid w:val="000D223A"/>
    <w:rsid w:val="000D2997"/>
    <w:rsid w:val="000D2CFE"/>
    <w:rsid w:val="000D357E"/>
    <w:rsid w:val="000D4689"/>
    <w:rsid w:val="000D55DB"/>
    <w:rsid w:val="000D57A8"/>
    <w:rsid w:val="000D5C92"/>
    <w:rsid w:val="000D6975"/>
    <w:rsid w:val="000D6B0F"/>
    <w:rsid w:val="000D6C32"/>
    <w:rsid w:val="000D6E8D"/>
    <w:rsid w:val="000D70F6"/>
    <w:rsid w:val="000D7992"/>
    <w:rsid w:val="000D7B69"/>
    <w:rsid w:val="000D7D1F"/>
    <w:rsid w:val="000D7F73"/>
    <w:rsid w:val="000E0540"/>
    <w:rsid w:val="000E0644"/>
    <w:rsid w:val="000E0C27"/>
    <w:rsid w:val="000E1771"/>
    <w:rsid w:val="000E2074"/>
    <w:rsid w:val="000E209A"/>
    <w:rsid w:val="000E2246"/>
    <w:rsid w:val="000E25D0"/>
    <w:rsid w:val="000E2F40"/>
    <w:rsid w:val="000E30D8"/>
    <w:rsid w:val="000E3B5F"/>
    <w:rsid w:val="000E3DD3"/>
    <w:rsid w:val="000E4304"/>
    <w:rsid w:val="000E449C"/>
    <w:rsid w:val="000E492B"/>
    <w:rsid w:val="000E4B9B"/>
    <w:rsid w:val="000E4CF2"/>
    <w:rsid w:val="000E4D89"/>
    <w:rsid w:val="000E584D"/>
    <w:rsid w:val="000E5AFA"/>
    <w:rsid w:val="000E5E9B"/>
    <w:rsid w:val="000E622E"/>
    <w:rsid w:val="000E66BE"/>
    <w:rsid w:val="000E6812"/>
    <w:rsid w:val="000E6951"/>
    <w:rsid w:val="000E6DAC"/>
    <w:rsid w:val="000E7343"/>
    <w:rsid w:val="000E7787"/>
    <w:rsid w:val="000E7AFB"/>
    <w:rsid w:val="000E7F1F"/>
    <w:rsid w:val="000F1034"/>
    <w:rsid w:val="000F1290"/>
    <w:rsid w:val="000F183D"/>
    <w:rsid w:val="000F1B85"/>
    <w:rsid w:val="000F22EC"/>
    <w:rsid w:val="000F2501"/>
    <w:rsid w:val="000F2765"/>
    <w:rsid w:val="000F2C25"/>
    <w:rsid w:val="000F2DF9"/>
    <w:rsid w:val="000F3309"/>
    <w:rsid w:val="000F3459"/>
    <w:rsid w:val="000F3684"/>
    <w:rsid w:val="000F3A62"/>
    <w:rsid w:val="000F45AD"/>
    <w:rsid w:val="000F4AB6"/>
    <w:rsid w:val="000F4C37"/>
    <w:rsid w:val="000F5313"/>
    <w:rsid w:val="000F5C71"/>
    <w:rsid w:val="000F5FD2"/>
    <w:rsid w:val="000F6132"/>
    <w:rsid w:val="000F6806"/>
    <w:rsid w:val="000F6F54"/>
    <w:rsid w:val="000F72B6"/>
    <w:rsid w:val="000F7F46"/>
    <w:rsid w:val="00100324"/>
    <w:rsid w:val="0010060A"/>
    <w:rsid w:val="00100AC9"/>
    <w:rsid w:val="00100CB6"/>
    <w:rsid w:val="00100D77"/>
    <w:rsid w:val="0010113E"/>
    <w:rsid w:val="00101B1A"/>
    <w:rsid w:val="0010200A"/>
    <w:rsid w:val="00102497"/>
    <w:rsid w:val="00102D66"/>
    <w:rsid w:val="001033B4"/>
    <w:rsid w:val="00104061"/>
    <w:rsid w:val="00104196"/>
    <w:rsid w:val="001042D4"/>
    <w:rsid w:val="00104E1A"/>
    <w:rsid w:val="00105550"/>
    <w:rsid w:val="00105F6A"/>
    <w:rsid w:val="00106AE9"/>
    <w:rsid w:val="00107037"/>
    <w:rsid w:val="001071AE"/>
    <w:rsid w:val="0010721B"/>
    <w:rsid w:val="0010731C"/>
    <w:rsid w:val="00107607"/>
    <w:rsid w:val="001076E3"/>
    <w:rsid w:val="00107867"/>
    <w:rsid w:val="00110424"/>
    <w:rsid w:val="00110466"/>
    <w:rsid w:val="00110B53"/>
    <w:rsid w:val="001110FF"/>
    <w:rsid w:val="0011121E"/>
    <w:rsid w:val="001116D8"/>
    <w:rsid w:val="001117D8"/>
    <w:rsid w:val="00111B3F"/>
    <w:rsid w:val="001129B2"/>
    <w:rsid w:val="00113170"/>
    <w:rsid w:val="001131BA"/>
    <w:rsid w:val="00114590"/>
    <w:rsid w:val="00116427"/>
    <w:rsid w:val="001167AD"/>
    <w:rsid w:val="001170D0"/>
    <w:rsid w:val="001171F9"/>
    <w:rsid w:val="001179EA"/>
    <w:rsid w:val="00117B3B"/>
    <w:rsid w:val="00120172"/>
    <w:rsid w:val="00120287"/>
    <w:rsid w:val="001215E1"/>
    <w:rsid w:val="00121C11"/>
    <w:rsid w:val="00122878"/>
    <w:rsid w:val="00122F56"/>
    <w:rsid w:val="001230D0"/>
    <w:rsid w:val="00124A7A"/>
    <w:rsid w:val="00124B63"/>
    <w:rsid w:val="00124D36"/>
    <w:rsid w:val="00125134"/>
    <w:rsid w:val="001253D3"/>
    <w:rsid w:val="0012541A"/>
    <w:rsid w:val="00125B87"/>
    <w:rsid w:val="0012666E"/>
    <w:rsid w:val="00126823"/>
    <w:rsid w:val="00126BA6"/>
    <w:rsid w:val="00126FB3"/>
    <w:rsid w:val="001271AB"/>
    <w:rsid w:val="00130299"/>
    <w:rsid w:val="00130B68"/>
    <w:rsid w:val="00131580"/>
    <w:rsid w:val="0013189C"/>
    <w:rsid w:val="00131D1F"/>
    <w:rsid w:val="0013221A"/>
    <w:rsid w:val="00132530"/>
    <w:rsid w:val="001325C8"/>
    <w:rsid w:val="00132E73"/>
    <w:rsid w:val="00132EC6"/>
    <w:rsid w:val="0013361B"/>
    <w:rsid w:val="00133B5C"/>
    <w:rsid w:val="00133CE7"/>
    <w:rsid w:val="00133E9C"/>
    <w:rsid w:val="0013406C"/>
    <w:rsid w:val="0013432C"/>
    <w:rsid w:val="00134364"/>
    <w:rsid w:val="001349A1"/>
    <w:rsid w:val="00134CE5"/>
    <w:rsid w:val="00135412"/>
    <w:rsid w:val="001354F9"/>
    <w:rsid w:val="001360FE"/>
    <w:rsid w:val="00136283"/>
    <w:rsid w:val="00136703"/>
    <w:rsid w:val="0013685B"/>
    <w:rsid w:val="00136FD1"/>
    <w:rsid w:val="00137B52"/>
    <w:rsid w:val="00137CD6"/>
    <w:rsid w:val="0014058A"/>
    <w:rsid w:val="00140FAE"/>
    <w:rsid w:val="0014164D"/>
    <w:rsid w:val="001419F8"/>
    <w:rsid w:val="00141E22"/>
    <w:rsid w:val="00142753"/>
    <w:rsid w:val="00142939"/>
    <w:rsid w:val="0014299F"/>
    <w:rsid w:val="00143589"/>
    <w:rsid w:val="00145187"/>
    <w:rsid w:val="0014575B"/>
    <w:rsid w:val="00145AD4"/>
    <w:rsid w:val="00145D85"/>
    <w:rsid w:val="001467C1"/>
    <w:rsid w:val="00146B13"/>
    <w:rsid w:val="00146DF0"/>
    <w:rsid w:val="00147D2A"/>
    <w:rsid w:val="00147E8A"/>
    <w:rsid w:val="00150060"/>
    <w:rsid w:val="0015033F"/>
    <w:rsid w:val="00150A00"/>
    <w:rsid w:val="0015137B"/>
    <w:rsid w:val="0015168D"/>
    <w:rsid w:val="00151D46"/>
    <w:rsid w:val="00152D99"/>
    <w:rsid w:val="00152E6D"/>
    <w:rsid w:val="00153000"/>
    <w:rsid w:val="0015368A"/>
    <w:rsid w:val="0015377E"/>
    <w:rsid w:val="001537EA"/>
    <w:rsid w:val="0015471C"/>
    <w:rsid w:val="0015472A"/>
    <w:rsid w:val="0015478B"/>
    <w:rsid w:val="00155254"/>
    <w:rsid w:val="001552EC"/>
    <w:rsid w:val="00155949"/>
    <w:rsid w:val="0015625A"/>
    <w:rsid w:val="00156AA4"/>
    <w:rsid w:val="00156F01"/>
    <w:rsid w:val="00157123"/>
    <w:rsid w:val="00157313"/>
    <w:rsid w:val="00157977"/>
    <w:rsid w:val="00160416"/>
    <w:rsid w:val="00160DEF"/>
    <w:rsid w:val="001610A4"/>
    <w:rsid w:val="00161A0C"/>
    <w:rsid w:val="00161A44"/>
    <w:rsid w:val="00162183"/>
    <w:rsid w:val="001621F3"/>
    <w:rsid w:val="00162428"/>
    <w:rsid w:val="00162A51"/>
    <w:rsid w:val="00162B60"/>
    <w:rsid w:val="00162B91"/>
    <w:rsid w:val="00162DFA"/>
    <w:rsid w:val="00162F04"/>
    <w:rsid w:val="00163BB3"/>
    <w:rsid w:val="00163DA4"/>
    <w:rsid w:val="00163E3C"/>
    <w:rsid w:val="00164A47"/>
    <w:rsid w:val="00164A6E"/>
    <w:rsid w:val="00165676"/>
    <w:rsid w:val="0016592E"/>
    <w:rsid w:val="0016599C"/>
    <w:rsid w:val="001662A2"/>
    <w:rsid w:val="00166751"/>
    <w:rsid w:val="001667DD"/>
    <w:rsid w:val="00166FE3"/>
    <w:rsid w:val="00167986"/>
    <w:rsid w:val="0017030C"/>
    <w:rsid w:val="0017107C"/>
    <w:rsid w:val="00171319"/>
    <w:rsid w:val="001714EA"/>
    <w:rsid w:val="0017236F"/>
    <w:rsid w:val="001733EF"/>
    <w:rsid w:val="00173B9F"/>
    <w:rsid w:val="00174054"/>
    <w:rsid w:val="00174429"/>
    <w:rsid w:val="001749E9"/>
    <w:rsid w:val="00174CAA"/>
    <w:rsid w:val="0017532A"/>
    <w:rsid w:val="00175419"/>
    <w:rsid w:val="00175B77"/>
    <w:rsid w:val="00175BC5"/>
    <w:rsid w:val="00176BC2"/>
    <w:rsid w:val="001770E5"/>
    <w:rsid w:val="0017761B"/>
    <w:rsid w:val="00177BCB"/>
    <w:rsid w:val="00177C88"/>
    <w:rsid w:val="00180D1F"/>
    <w:rsid w:val="00180E85"/>
    <w:rsid w:val="00181344"/>
    <w:rsid w:val="001827A1"/>
    <w:rsid w:val="00182958"/>
    <w:rsid w:val="001830E3"/>
    <w:rsid w:val="00183533"/>
    <w:rsid w:val="00184869"/>
    <w:rsid w:val="00184ADD"/>
    <w:rsid w:val="00184D9B"/>
    <w:rsid w:val="00184F0B"/>
    <w:rsid w:val="00185014"/>
    <w:rsid w:val="0018509B"/>
    <w:rsid w:val="001864AE"/>
    <w:rsid w:val="00186527"/>
    <w:rsid w:val="00186605"/>
    <w:rsid w:val="00186800"/>
    <w:rsid w:val="00186A5C"/>
    <w:rsid w:val="0018708C"/>
    <w:rsid w:val="00187195"/>
    <w:rsid w:val="00187502"/>
    <w:rsid w:val="0018762D"/>
    <w:rsid w:val="00190243"/>
    <w:rsid w:val="001909F5"/>
    <w:rsid w:val="00190D97"/>
    <w:rsid w:val="0019116B"/>
    <w:rsid w:val="00191334"/>
    <w:rsid w:val="0019181C"/>
    <w:rsid w:val="00191AD0"/>
    <w:rsid w:val="00191B35"/>
    <w:rsid w:val="00191C88"/>
    <w:rsid w:val="0019364F"/>
    <w:rsid w:val="001939F2"/>
    <w:rsid w:val="00194042"/>
    <w:rsid w:val="0019498A"/>
    <w:rsid w:val="00195461"/>
    <w:rsid w:val="00195823"/>
    <w:rsid w:val="00195853"/>
    <w:rsid w:val="00195AFB"/>
    <w:rsid w:val="001962D7"/>
    <w:rsid w:val="00196438"/>
    <w:rsid w:val="001968E3"/>
    <w:rsid w:val="001974D7"/>
    <w:rsid w:val="00197931"/>
    <w:rsid w:val="00197CAB"/>
    <w:rsid w:val="001A08D2"/>
    <w:rsid w:val="001A12B7"/>
    <w:rsid w:val="001A1EDE"/>
    <w:rsid w:val="001A209E"/>
    <w:rsid w:val="001A2653"/>
    <w:rsid w:val="001A26D2"/>
    <w:rsid w:val="001A3427"/>
    <w:rsid w:val="001A3B18"/>
    <w:rsid w:val="001A44C7"/>
    <w:rsid w:val="001A475C"/>
    <w:rsid w:val="001A47C1"/>
    <w:rsid w:val="001A4888"/>
    <w:rsid w:val="001A4969"/>
    <w:rsid w:val="001A4FB2"/>
    <w:rsid w:val="001A5390"/>
    <w:rsid w:val="001A54B3"/>
    <w:rsid w:val="001A564D"/>
    <w:rsid w:val="001A5795"/>
    <w:rsid w:val="001A58D6"/>
    <w:rsid w:val="001A5AED"/>
    <w:rsid w:val="001A5CE0"/>
    <w:rsid w:val="001A5CF7"/>
    <w:rsid w:val="001A67F5"/>
    <w:rsid w:val="001A6822"/>
    <w:rsid w:val="001A75C3"/>
    <w:rsid w:val="001A79E9"/>
    <w:rsid w:val="001A7CF1"/>
    <w:rsid w:val="001A7DC1"/>
    <w:rsid w:val="001B0148"/>
    <w:rsid w:val="001B0A4F"/>
    <w:rsid w:val="001B0CA7"/>
    <w:rsid w:val="001B1132"/>
    <w:rsid w:val="001B29FA"/>
    <w:rsid w:val="001B2AAF"/>
    <w:rsid w:val="001B33E8"/>
    <w:rsid w:val="001B3544"/>
    <w:rsid w:val="001B480C"/>
    <w:rsid w:val="001B5047"/>
    <w:rsid w:val="001B5293"/>
    <w:rsid w:val="001B5B40"/>
    <w:rsid w:val="001B72CF"/>
    <w:rsid w:val="001B77AC"/>
    <w:rsid w:val="001B7E2C"/>
    <w:rsid w:val="001C162E"/>
    <w:rsid w:val="001C211C"/>
    <w:rsid w:val="001C291E"/>
    <w:rsid w:val="001C3747"/>
    <w:rsid w:val="001C43F3"/>
    <w:rsid w:val="001C471C"/>
    <w:rsid w:val="001C4DA5"/>
    <w:rsid w:val="001C545C"/>
    <w:rsid w:val="001C613C"/>
    <w:rsid w:val="001C6689"/>
    <w:rsid w:val="001C6867"/>
    <w:rsid w:val="001C6DF5"/>
    <w:rsid w:val="001C7A6B"/>
    <w:rsid w:val="001D00C8"/>
    <w:rsid w:val="001D00E2"/>
    <w:rsid w:val="001D0887"/>
    <w:rsid w:val="001D0899"/>
    <w:rsid w:val="001D0A8B"/>
    <w:rsid w:val="001D1452"/>
    <w:rsid w:val="001D1787"/>
    <w:rsid w:val="001D1EA9"/>
    <w:rsid w:val="001D233F"/>
    <w:rsid w:val="001D2A89"/>
    <w:rsid w:val="001D2EB4"/>
    <w:rsid w:val="001D3652"/>
    <w:rsid w:val="001D3A67"/>
    <w:rsid w:val="001D3CC8"/>
    <w:rsid w:val="001D48C6"/>
    <w:rsid w:val="001D535B"/>
    <w:rsid w:val="001D5A2F"/>
    <w:rsid w:val="001D5D06"/>
    <w:rsid w:val="001D6073"/>
    <w:rsid w:val="001D73A9"/>
    <w:rsid w:val="001D773E"/>
    <w:rsid w:val="001D785B"/>
    <w:rsid w:val="001D7907"/>
    <w:rsid w:val="001D7989"/>
    <w:rsid w:val="001E00C1"/>
    <w:rsid w:val="001E013A"/>
    <w:rsid w:val="001E03F4"/>
    <w:rsid w:val="001E0A62"/>
    <w:rsid w:val="001E0BF9"/>
    <w:rsid w:val="001E1AC8"/>
    <w:rsid w:val="001E293C"/>
    <w:rsid w:val="001E3388"/>
    <w:rsid w:val="001E3402"/>
    <w:rsid w:val="001E38BA"/>
    <w:rsid w:val="001E3EBA"/>
    <w:rsid w:val="001E48A0"/>
    <w:rsid w:val="001E4BA7"/>
    <w:rsid w:val="001E62C6"/>
    <w:rsid w:val="001E64E3"/>
    <w:rsid w:val="001E68D8"/>
    <w:rsid w:val="001E6E59"/>
    <w:rsid w:val="001E7181"/>
    <w:rsid w:val="001E79F0"/>
    <w:rsid w:val="001E7C6B"/>
    <w:rsid w:val="001E7C81"/>
    <w:rsid w:val="001F1648"/>
    <w:rsid w:val="001F1788"/>
    <w:rsid w:val="001F1AB0"/>
    <w:rsid w:val="001F1AB4"/>
    <w:rsid w:val="001F1C88"/>
    <w:rsid w:val="001F1D88"/>
    <w:rsid w:val="001F1F35"/>
    <w:rsid w:val="001F2270"/>
    <w:rsid w:val="001F2AAD"/>
    <w:rsid w:val="001F2EC4"/>
    <w:rsid w:val="001F3322"/>
    <w:rsid w:val="001F3C85"/>
    <w:rsid w:val="001F4E00"/>
    <w:rsid w:val="001F4E01"/>
    <w:rsid w:val="001F5207"/>
    <w:rsid w:val="001F52F0"/>
    <w:rsid w:val="001F59A0"/>
    <w:rsid w:val="001F5CDF"/>
    <w:rsid w:val="001F5F01"/>
    <w:rsid w:val="001F6114"/>
    <w:rsid w:val="001F6EA4"/>
    <w:rsid w:val="001F76A6"/>
    <w:rsid w:val="001F7F48"/>
    <w:rsid w:val="002001F3"/>
    <w:rsid w:val="00200200"/>
    <w:rsid w:val="00200350"/>
    <w:rsid w:val="0020042F"/>
    <w:rsid w:val="002008D5"/>
    <w:rsid w:val="00200ED9"/>
    <w:rsid w:val="002010F9"/>
    <w:rsid w:val="002013CC"/>
    <w:rsid w:val="00201B84"/>
    <w:rsid w:val="00201E95"/>
    <w:rsid w:val="002021CE"/>
    <w:rsid w:val="0020227E"/>
    <w:rsid w:val="00202F92"/>
    <w:rsid w:val="0020320F"/>
    <w:rsid w:val="00203542"/>
    <w:rsid w:val="00203681"/>
    <w:rsid w:val="0020437A"/>
    <w:rsid w:val="00204679"/>
    <w:rsid w:val="00205DA2"/>
    <w:rsid w:val="002067A9"/>
    <w:rsid w:val="00206879"/>
    <w:rsid w:val="0020692B"/>
    <w:rsid w:val="00207410"/>
    <w:rsid w:val="00210550"/>
    <w:rsid w:val="00210690"/>
    <w:rsid w:val="00210C56"/>
    <w:rsid w:val="00210D6E"/>
    <w:rsid w:val="00211542"/>
    <w:rsid w:val="002119F4"/>
    <w:rsid w:val="0021209C"/>
    <w:rsid w:val="00212AA4"/>
    <w:rsid w:val="00212C91"/>
    <w:rsid w:val="0021335A"/>
    <w:rsid w:val="002139F9"/>
    <w:rsid w:val="00213FF6"/>
    <w:rsid w:val="0021423B"/>
    <w:rsid w:val="0021460E"/>
    <w:rsid w:val="002151C7"/>
    <w:rsid w:val="00215CDB"/>
    <w:rsid w:val="00215ED1"/>
    <w:rsid w:val="0021641F"/>
    <w:rsid w:val="00216613"/>
    <w:rsid w:val="00216831"/>
    <w:rsid w:val="002169C1"/>
    <w:rsid w:val="00217C07"/>
    <w:rsid w:val="00220589"/>
    <w:rsid w:val="002205EC"/>
    <w:rsid w:val="00220762"/>
    <w:rsid w:val="002209E3"/>
    <w:rsid w:val="00220D45"/>
    <w:rsid w:val="002216A6"/>
    <w:rsid w:val="00221A2F"/>
    <w:rsid w:val="00221CB4"/>
    <w:rsid w:val="002222ED"/>
    <w:rsid w:val="002224C8"/>
    <w:rsid w:val="00222947"/>
    <w:rsid w:val="00223596"/>
    <w:rsid w:val="00223826"/>
    <w:rsid w:val="0022497D"/>
    <w:rsid w:val="00224BA8"/>
    <w:rsid w:val="002258DD"/>
    <w:rsid w:val="00225D9F"/>
    <w:rsid w:val="00225DC9"/>
    <w:rsid w:val="00225DEC"/>
    <w:rsid w:val="00225E1B"/>
    <w:rsid w:val="0022733B"/>
    <w:rsid w:val="00227516"/>
    <w:rsid w:val="00230133"/>
    <w:rsid w:val="00230CCD"/>
    <w:rsid w:val="00231217"/>
    <w:rsid w:val="00232249"/>
    <w:rsid w:val="00232621"/>
    <w:rsid w:val="00234044"/>
    <w:rsid w:val="002343E1"/>
    <w:rsid w:val="002345ED"/>
    <w:rsid w:val="002347BA"/>
    <w:rsid w:val="00234E10"/>
    <w:rsid w:val="0023586F"/>
    <w:rsid w:val="002367F8"/>
    <w:rsid w:val="002368EB"/>
    <w:rsid w:val="002369B5"/>
    <w:rsid w:val="00236CA5"/>
    <w:rsid w:val="0023743E"/>
    <w:rsid w:val="00237CCB"/>
    <w:rsid w:val="00240008"/>
    <w:rsid w:val="0024077E"/>
    <w:rsid w:val="00240B65"/>
    <w:rsid w:val="00240F18"/>
    <w:rsid w:val="002412F3"/>
    <w:rsid w:val="00241382"/>
    <w:rsid w:val="002415A1"/>
    <w:rsid w:val="002417AA"/>
    <w:rsid w:val="00241A29"/>
    <w:rsid w:val="00241A7E"/>
    <w:rsid w:val="00242911"/>
    <w:rsid w:val="00244A7D"/>
    <w:rsid w:val="00246A3D"/>
    <w:rsid w:val="0024719B"/>
    <w:rsid w:val="002472A3"/>
    <w:rsid w:val="00247857"/>
    <w:rsid w:val="00247B74"/>
    <w:rsid w:val="00247EDF"/>
    <w:rsid w:val="00247EEA"/>
    <w:rsid w:val="0025067B"/>
    <w:rsid w:val="00250B4F"/>
    <w:rsid w:val="002511BA"/>
    <w:rsid w:val="00251226"/>
    <w:rsid w:val="002520ED"/>
    <w:rsid w:val="0025238A"/>
    <w:rsid w:val="00252482"/>
    <w:rsid w:val="0025251D"/>
    <w:rsid w:val="00252822"/>
    <w:rsid w:val="00252CCB"/>
    <w:rsid w:val="00252FF4"/>
    <w:rsid w:val="00253320"/>
    <w:rsid w:val="0025343A"/>
    <w:rsid w:val="0025377F"/>
    <w:rsid w:val="00253E0D"/>
    <w:rsid w:val="002541CE"/>
    <w:rsid w:val="0025423F"/>
    <w:rsid w:val="00254288"/>
    <w:rsid w:val="002550DB"/>
    <w:rsid w:val="00255309"/>
    <w:rsid w:val="0025540D"/>
    <w:rsid w:val="00255BCB"/>
    <w:rsid w:val="00256EFD"/>
    <w:rsid w:val="0025738B"/>
    <w:rsid w:val="00257E5A"/>
    <w:rsid w:val="00260147"/>
    <w:rsid w:val="00260300"/>
    <w:rsid w:val="002620F4"/>
    <w:rsid w:val="002623F9"/>
    <w:rsid w:val="00262CB0"/>
    <w:rsid w:val="00262DC7"/>
    <w:rsid w:val="00262E9E"/>
    <w:rsid w:val="0026393E"/>
    <w:rsid w:val="00263BAF"/>
    <w:rsid w:val="0026463C"/>
    <w:rsid w:val="00264B17"/>
    <w:rsid w:val="00265A62"/>
    <w:rsid w:val="00265C0F"/>
    <w:rsid w:val="00266754"/>
    <w:rsid w:val="00267665"/>
    <w:rsid w:val="00267737"/>
    <w:rsid w:val="00267E14"/>
    <w:rsid w:val="00267F49"/>
    <w:rsid w:val="00270403"/>
    <w:rsid w:val="0027052B"/>
    <w:rsid w:val="00270681"/>
    <w:rsid w:val="0027129F"/>
    <w:rsid w:val="00271786"/>
    <w:rsid w:val="00272271"/>
    <w:rsid w:val="00272317"/>
    <w:rsid w:val="002723BD"/>
    <w:rsid w:val="002727A3"/>
    <w:rsid w:val="00272998"/>
    <w:rsid w:val="00272AB7"/>
    <w:rsid w:val="00272EC7"/>
    <w:rsid w:val="00273101"/>
    <w:rsid w:val="002737B2"/>
    <w:rsid w:val="00273E87"/>
    <w:rsid w:val="00273EED"/>
    <w:rsid w:val="002745F4"/>
    <w:rsid w:val="002748B9"/>
    <w:rsid w:val="0027490F"/>
    <w:rsid w:val="00274A56"/>
    <w:rsid w:val="00274B97"/>
    <w:rsid w:val="00274D19"/>
    <w:rsid w:val="00274D27"/>
    <w:rsid w:val="00275979"/>
    <w:rsid w:val="00275E20"/>
    <w:rsid w:val="00276071"/>
    <w:rsid w:val="002761CD"/>
    <w:rsid w:val="00276A34"/>
    <w:rsid w:val="0027732F"/>
    <w:rsid w:val="00277EEF"/>
    <w:rsid w:val="002800CE"/>
    <w:rsid w:val="00280409"/>
    <w:rsid w:val="002810E5"/>
    <w:rsid w:val="002812CE"/>
    <w:rsid w:val="002813C8"/>
    <w:rsid w:val="00282BD6"/>
    <w:rsid w:val="002831BA"/>
    <w:rsid w:val="00283530"/>
    <w:rsid w:val="00283A14"/>
    <w:rsid w:val="00283B51"/>
    <w:rsid w:val="00284C91"/>
    <w:rsid w:val="00285002"/>
    <w:rsid w:val="00285649"/>
    <w:rsid w:val="002858CF"/>
    <w:rsid w:val="002861BA"/>
    <w:rsid w:val="002863C9"/>
    <w:rsid w:val="00286420"/>
    <w:rsid w:val="00286A1E"/>
    <w:rsid w:val="00286AB9"/>
    <w:rsid w:val="00287BD2"/>
    <w:rsid w:val="002901B9"/>
    <w:rsid w:val="002917F4"/>
    <w:rsid w:val="00291BCA"/>
    <w:rsid w:val="00291E4B"/>
    <w:rsid w:val="0029256C"/>
    <w:rsid w:val="00292A16"/>
    <w:rsid w:val="00292D46"/>
    <w:rsid w:val="0029398F"/>
    <w:rsid w:val="00293AA6"/>
    <w:rsid w:val="00295C8A"/>
    <w:rsid w:val="00295D81"/>
    <w:rsid w:val="00295E02"/>
    <w:rsid w:val="00296AA3"/>
    <w:rsid w:val="00297506"/>
    <w:rsid w:val="002A1089"/>
    <w:rsid w:val="002A1631"/>
    <w:rsid w:val="002A1895"/>
    <w:rsid w:val="002A1A24"/>
    <w:rsid w:val="002A1FED"/>
    <w:rsid w:val="002A25C7"/>
    <w:rsid w:val="002A25E7"/>
    <w:rsid w:val="002A2A69"/>
    <w:rsid w:val="002A2C44"/>
    <w:rsid w:val="002A2EAD"/>
    <w:rsid w:val="002A3480"/>
    <w:rsid w:val="002A3653"/>
    <w:rsid w:val="002A37C9"/>
    <w:rsid w:val="002A389B"/>
    <w:rsid w:val="002A3945"/>
    <w:rsid w:val="002A3A40"/>
    <w:rsid w:val="002A3A89"/>
    <w:rsid w:val="002A3D61"/>
    <w:rsid w:val="002A432E"/>
    <w:rsid w:val="002A4507"/>
    <w:rsid w:val="002A520E"/>
    <w:rsid w:val="002A5775"/>
    <w:rsid w:val="002A5966"/>
    <w:rsid w:val="002A605F"/>
    <w:rsid w:val="002A66B1"/>
    <w:rsid w:val="002A7337"/>
    <w:rsid w:val="002A74A6"/>
    <w:rsid w:val="002A7D4B"/>
    <w:rsid w:val="002B06B5"/>
    <w:rsid w:val="002B095F"/>
    <w:rsid w:val="002B0A83"/>
    <w:rsid w:val="002B2826"/>
    <w:rsid w:val="002B2E2C"/>
    <w:rsid w:val="002B2ED1"/>
    <w:rsid w:val="002B3629"/>
    <w:rsid w:val="002B36DE"/>
    <w:rsid w:val="002B3B87"/>
    <w:rsid w:val="002B3F23"/>
    <w:rsid w:val="002B48F7"/>
    <w:rsid w:val="002B4C7A"/>
    <w:rsid w:val="002B5197"/>
    <w:rsid w:val="002B53F0"/>
    <w:rsid w:val="002B5A0C"/>
    <w:rsid w:val="002B5B24"/>
    <w:rsid w:val="002B6BCA"/>
    <w:rsid w:val="002B7809"/>
    <w:rsid w:val="002B791C"/>
    <w:rsid w:val="002B7D8E"/>
    <w:rsid w:val="002B7FA4"/>
    <w:rsid w:val="002C0064"/>
    <w:rsid w:val="002C0AED"/>
    <w:rsid w:val="002C0F1D"/>
    <w:rsid w:val="002C13A9"/>
    <w:rsid w:val="002C1C75"/>
    <w:rsid w:val="002C2048"/>
    <w:rsid w:val="002C2C2D"/>
    <w:rsid w:val="002C2E56"/>
    <w:rsid w:val="002C3212"/>
    <w:rsid w:val="002C3719"/>
    <w:rsid w:val="002C384C"/>
    <w:rsid w:val="002C3943"/>
    <w:rsid w:val="002C3958"/>
    <w:rsid w:val="002C437D"/>
    <w:rsid w:val="002C4C81"/>
    <w:rsid w:val="002C5068"/>
    <w:rsid w:val="002C52F8"/>
    <w:rsid w:val="002C5A41"/>
    <w:rsid w:val="002C5CAF"/>
    <w:rsid w:val="002C5CBB"/>
    <w:rsid w:val="002C6415"/>
    <w:rsid w:val="002C6564"/>
    <w:rsid w:val="002C6814"/>
    <w:rsid w:val="002C7858"/>
    <w:rsid w:val="002D09D0"/>
    <w:rsid w:val="002D1D11"/>
    <w:rsid w:val="002D1E82"/>
    <w:rsid w:val="002D25DB"/>
    <w:rsid w:val="002D34D3"/>
    <w:rsid w:val="002D38EC"/>
    <w:rsid w:val="002D3A0E"/>
    <w:rsid w:val="002D3AA6"/>
    <w:rsid w:val="002D438E"/>
    <w:rsid w:val="002D4501"/>
    <w:rsid w:val="002D4D05"/>
    <w:rsid w:val="002D521B"/>
    <w:rsid w:val="002D653E"/>
    <w:rsid w:val="002D6B2A"/>
    <w:rsid w:val="002D70FB"/>
    <w:rsid w:val="002D79A3"/>
    <w:rsid w:val="002D7B11"/>
    <w:rsid w:val="002E0819"/>
    <w:rsid w:val="002E0F65"/>
    <w:rsid w:val="002E110F"/>
    <w:rsid w:val="002E1204"/>
    <w:rsid w:val="002E123F"/>
    <w:rsid w:val="002E1650"/>
    <w:rsid w:val="002E1F72"/>
    <w:rsid w:val="002E2EDE"/>
    <w:rsid w:val="002E4749"/>
    <w:rsid w:val="002E4957"/>
    <w:rsid w:val="002E4B05"/>
    <w:rsid w:val="002E4E2B"/>
    <w:rsid w:val="002E50BF"/>
    <w:rsid w:val="002E5CE5"/>
    <w:rsid w:val="002E5D89"/>
    <w:rsid w:val="002E68A6"/>
    <w:rsid w:val="002E6BC4"/>
    <w:rsid w:val="002E6D95"/>
    <w:rsid w:val="002E7CB1"/>
    <w:rsid w:val="002E7F0F"/>
    <w:rsid w:val="002F0BA7"/>
    <w:rsid w:val="002F0C58"/>
    <w:rsid w:val="002F0DF1"/>
    <w:rsid w:val="002F0E4C"/>
    <w:rsid w:val="002F1239"/>
    <w:rsid w:val="002F1453"/>
    <w:rsid w:val="002F37B7"/>
    <w:rsid w:val="002F399E"/>
    <w:rsid w:val="002F3CC5"/>
    <w:rsid w:val="002F559D"/>
    <w:rsid w:val="002F55C8"/>
    <w:rsid w:val="002F59EB"/>
    <w:rsid w:val="002F5D28"/>
    <w:rsid w:val="002F60DE"/>
    <w:rsid w:val="002F6837"/>
    <w:rsid w:val="002F6D61"/>
    <w:rsid w:val="002F7C2A"/>
    <w:rsid w:val="002F7EA0"/>
    <w:rsid w:val="003002B2"/>
    <w:rsid w:val="003015A5"/>
    <w:rsid w:val="003016B4"/>
    <w:rsid w:val="00301C88"/>
    <w:rsid w:val="00301FAC"/>
    <w:rsid w:val="00303224"/>
    <w:rsid w:val="00303604"/>
    <w:rsid w:val="00303943"/>
    <w:rsid w:val="0030451A"/>
    <w:rsid w:val="003048EA"/>
    <w:rsid w:val="00304C52"/>
    <w:rsid w:val="00304C74"/>
    <w:rsid w:val="00304D8C"/>
    <w:rsid w:val="003052B2"/>
    <w:rsid w:val="0030582F"/>
    <w:rsid w:val="00305E54"/>
    <w:rsid w:val="00306342"/>
    <w:rsid w:val="00306526"/>
    <w:rsid w:val="00306AEA"/>
    <w:rsid w:val="00307079"/>
    <w:rsid w:val="00307370"/>
    <w:rsid w:val="0031084D"/>
    <w:rsid w:val="00310AE6"/>
    <w:rsid w:val="00310DC1"/>
    <w:rsid w:val="00310E58"/>
    <w:rsid w:val="00311028"/>
    <w:rsid w:val="00312CD0"/>
    <w:rsid w:val="00313BA3"/>
    <w:rsid w:val="00313D99"/>
    <w:rsid w:val="003145A4"/>
    <w:rsid w:val="003145CF"/>
    <w:rsid w:val="00314847"/>
    <w:rsid w:val="00314AEB"/>
    <w:rsid w:val="00314DCE"/>
    <w:rsid w:val="00315590"/>
    <w:rsid w:val="003158E0"/>
    <w:rsid w:val="00315C00"/>
    <w:rsid w:val="00315DB5"/>
    <w:rsid w:val="00315E36"/>
    <w:rsid w:val="00315EB5"/>
    <w:rsid w:val="00316558"/>
    <w:rsid w:val="0031694F"/>
    <w:rsid w:val="0031798C"/>
    <w:rsid w:val="00320ABF"/>
    <w:rsid w:val="003211CD"/>
    <w:rsid w:val="003219C0"/>
    <w:rsid w:val="00321ADC"/>
    <w:rsid w:val="00321F2C"/>
    <w:rsid w:val="0032252C"/>
    <w:rsid w:val="00323613"/>
    <w:rsid w:val="00323623"/>
    <w:rsid w:val="003237E5"/>
    <w:rsid w:val="0032384E"/>
    <w:rsid w:val="0032441D"/>
    <w:rsid w:val="0032461F"/>
    <w:rsid w:val="00324799"/>
    <w:rsid w:val="003250AA"/>
    <w:rsid w:val="003253F3"/>
    <w:rsid w:val="0032553B"/>
    <w:rsid w:val="00325BA4"/>
    <w:rsid w:val="00326462"/>
    <w:rsid w:val="003265F8"/>
    <w:rsid w:val="00326AEB"/>
    <w:rsid w:val="00327041"/>
    <w:rsid w:val="00327461"/>
    <w:rsid w:val="0032795B"/>
    <w:rsid w:val="003305A7"/>
    <w:rsid w:val="00330761"/>
    <w:rsid w:val="00330813"/>
    <w:rsid w:val="00330C63"/>
    <w:rsid w:val="00331109"/>
    <w:rsid w:val="0033197E"/>
    <w:rsid w:val="00331CC7"/>
    <w:rsid w:val="00332D69"/>
    <w:rsid w:val="003330A8"/>
    <w:rsid w:val="00333162"/>
    <w:rsid w:val="003334FE"/>
    <w:rsid w:val="003338D1"/>
    <w:rsid w:val="00333A5F"/>
    <w:rsid w:val="00333D5C"/>
    <w:rsid w:val="00333DBD"/>
    <w:rsid w:val="00333F3F"/>
    <w:rsid w:val="00334365"/>
    <w:rsid w:val="0033474D"/>
    <w:rsid w:val="003355FF"/>
    <w:rsid w:val="003366FC"/>
    <w:rsid w:val="00337247"/>
    <w:rsid w:val="003373D8"/>
    <w:rsid w:val="003378DA"/>
    <w:rsid w:val="00337AAF"/>
    <w:rsid w:val="0034061F"/>
    <w:rsid w:val="003406A4"/>
    <w:rsid w:val="003407F3"/>
    <w:rsid w:val="00340F3F"/>
    <w:rsid w:val="003413BE"/>
    <w:rsid w:val="003416B4"/>
    <w:rsid w:val="0034191D"/>
    <w:rsid w:val="00341A11"/>
    <w:rsid w:val="00342040"/>
    <w:rsid w:val="00342CFD"/>
    <w:rsid w:val="00342FA6"/>
    <w:rsid w:val="00343DFC"/>
    <w:rsid w:val="00344B91"/>
    <w:rsid w:val="003452AF"/>
    <w:rsid w:val="00346FF4"/>
    <w:rsid w:val="00347504"/>
    <w:rsid w:val="003476AB"/>
    <w:rsid w:val="00350002"/>
    <w:rsid w:val="0035075F"/>
    <w:rsid w:val="003507CD"/>
    <w:rsid w:val="00350B44"/>
    <w:rsid w:val="0035189F"/>
    <w:rsid w:val="00351B75"/>
    <w:rsid w:val="00351DED"/>
    <w:rsid w:val="00352967"/>
    <w:rsid w:val="00352DB7"/>
    <w:rsid w:val="003530CC"/>
    <w:rsid w:val="00353111"/>
    <w:rsid w:val="00353697"/>
    <w:rsid w:val="003539FC"/>
    <w:rsid w:val="00353C49"/>
    <w:rsid w:val="003549C3"/>
    <w:rsid w:val="00355105"/>
    <w:rsid w:val="00356D20"/>
    <w:rsid w:val="003572CF"/>
    <w:rsid w:val="0035732C"/>
    <w:rsid w:val="003604E1"/>
    <w:rsid w:val="003604FF"/>
    <w:rsid w:val="00360769"/>
    <w:rsid w:val="00360E22"/>
    <w:rsid w:val="00360FE4"/>
    <w:rsid w:val="00361BA4"/>
    <w:rsid w:val="00361C47"/>
    <w:rsid w:val="00362A9D"/>
    <w:rsid w:val="00362F59"/>
    <w:rsid w:val="00363FAE"/>
    <w:rsid w:val="00365CAC"/>
    <w:rsid w:val="003670FE"/>
    <w:rsid w:val="00367646"/>
    <w:rsid w:val="00367C14"/>
    <w:rsid w:val="003705AD"/>
    <w:rsid w:val="00371297"/>
    <w:rsid w:val="00371736"/>
    <w:rsid w:val="00371A63"/>
    <w:rsid w:val="00371CF4"/>
    <w:rsid w:val="00371D7A"/>
    <w:rsid w:val="0037256D"/>
    <w:rsid w:val="0037279C"/>
    <w:rsid w:val="00372B5B"/>
    <w:rsid w:val="00373446"/>
    <w:rsid w:val="00373C6F"/>
    <w:rsid w:val="00374A29"/>
    <w:rsid w:val="00374A48"/>
    <w:rsid w:val="00374EF1"/>
    <w:rsid w:val="00374F03"/>
    <w:rsid w:val="003751A0"/>
    <w:rsid w:val="003760DE"/>
    <w:rsid w:val="00376301"/>
    <w:rsid w:val="00376A8D"/>
    <w:rsid w:val="00376FA5"/>
    <w:rsid w:val="00380915"/>
    <w:rsid w:val="0038099E"/>
    <w:rsid w:val="00381D08"/>
    <w:rsid w:val="00382CAA"/>
    <w:rsid w:val="00382E79"/>
    <w:rsid w:val="00383672"/>
    <w:rsid w:val="00383807"/>
    <w:rsid w:val="00383D51"/>
    <w:rsid w:val="003847F3"/>
    <w:rsid w:val="00385009"/>
    <w:rsid w:val="0038543A"/>
    <w:rsid w:val="003857A2"/>
    <w:rsid w:val="00385EC6"/>
    <w:rsid w:val="00385FAF"/>
    <w:rsid w:val="003863B7"/>
    <w:rsid w:val="00386EE9"/>
    <w:rsid w:val="003871F4"/>
    <w:rsid w:val="003876FB"/>
    <w:rsid w:val="00390AE0"/>
    <w:rsid w:val="00390F7E"/>
    <w:rsid w:val="00391044"/>
    <w:rsid w:val="0039183B"/>
    <w:rsid w:val="003918ED"/>
    <w:rsid w:val="003925DF"/>
    <w:rsid w:val="003930B3"/>
    <w:rsid w:val="0039343C"/>
    <w:rsid w:val="00393DBE"/>
    <w:rsid w:val="00393E3D"/>
    <w:rsid w:val="003940A2"/>
    <w:rsid w:val="003949B5"/>
    <w:rsid w:val="00394A38"/>
    <w:rsid w:val="00395226"/>
    <w:rsid w:val="00395CC0"/>
    <w:rsid w:val="00395FA2"/>
    <w:rsid w:val="003967AD"/>
    <w:rsid w:val="003968B6"/>
    <w:rsid w:val="0039705C"/>
    <w:rsid w:val="003973AD"/>
    <w:rsid w:val="003974BC"/>
    <w:rsid w:val="00397FF9"/>
    <w:rsid w:val="003A064E"/>
    <w:rsid w:val="003A076B"/>
    <w:rsid w:val="003A07A0"/>
    <w:rsid w:val="003A097E"/>
    <w:rsid w:val="003A0DFA"/>
    <w:rsid w:val="003A1061"/>
    <w:rsid w:val="003A1285"/>
    <w:rsid w:val="003A1A22"/>
    <w:rsid w:val="003A1F56"/>
    <w:rsid w:val="003A2525"/>
    <w:rsid w:val="003A274E"/>
    <w:rsid w:val="003A3D7D"/>
    <w:rsid w:val="003A3EF4"/>
    <w:rsid w:val="003A4794"/>
    <w:rsid w:val="003A4913"/>
    <w:rsid w:val="003A4F11"/>
    <w:rsid w:val="003A533A"/>
    <w:rsid w:val="003A5C6B"/>
    <w:rsid w:val="003A5DFF"/>
    <w:rsid w:val="003A61C9"/>
    <w:rsid w:val="003A6E80"/>
    <w:rsid w:val="003A73D0"/>
    <w:rsid w:val="003A748F"/>
    <w:rsid w:val="003A79D3"/>
    <w:rsid w:val="003A7B8F"/>
    <w:rsid w:val="003A7E6B"/>
    <w:rsid w:val="003B0EB5"/>
    <w:rsid w:val="003B0F1C"/>
    <w:rsid w:val="003B19DF"/>
    <w:rsid w:val="003B1CCE"/>
    <w:rsid w:val="003B35D5"/>
    <w:rsid w:val="003B3A1A"/>
    <w:rsid w:val="003B3DA6"/>
    <w:rsid w:val="003B3E92"/>
    <w:rsid w:val="003B3EA5"/>
    <w:rsid w:val="003B3EE8"/>
    <w:rsid w:val="003B3F7B"/>
    <w:rsid w:val="003B455E"/>
    <w:rsid w:val="003B489D"/>
    <w:rsid w:val="003B4DF7"/>
    <w:rsid w:val="003B5EE1"/>
    <w:rsid w:val="003B60CB"/>
    <w:rsid w:val="003B6D22"/>
    <w:rsid w:val="003B6E91"/>
    <w:rsid w:val="003B7363"/>
    <w:rsid w:val="003B7A43"/>
    <w:rsid w:val="003C03DA"/>
    <w:rsid w:val="003C0EE9"/>
    <w:rsid w:val="003C1CE4"/>
    <w:rsid w:val="003C1EA7"/>
    <w:rsid w:val="003C27C6"/>
    <w:rsid w:val="003C2A92"/>
    <w:rsid w:val="003C2C3E"/>
    <w:rsid w:val="003C2D57"/>
    <w:rsid w:val="003C31B7"/>
    <w:rsid w:val="003C361F"/>
    <w:rsid w:val="003C4361"/>
    <w:rsid w:val="003C44FE"/>
    <w:rsid w:val="003C4FCA"/>
    <w:rsid w:val="003C5688"/>
    <w:rsid w:val="003C5929"/>
    <w:rsid w:val="003C62BF"/>
    <w:rsid w:val="003C6ACF"/>
    <w:rsid w:val="003C6D10"/>
    <w:rsid w:val="003C6EEE"/>
    <w:rsid w:val="003C73CA"/>
    <w:rsid w:val="003D0639"/>
    <w:rsid w:val="003D0A6B"/>
    <w:rsid w:val="003D10E3"/>
    <w:rsid w:val="003D16A3"/>
    <w:rsid w:val="003D17DE"/>
    <w:rsid w:val="003D19F9"/>
    <w:rsid w:val="003D1B56"/>
    <w:rsid w:val="003D2059"/>
    <w:rsid w:val="003D20AF"/>
    <w:rsid w:val="003D23BF"/>
    <w:rsid w:val="003D27C2"/>
    <w:rsid w:val="003D3095"/>
    <w:rsid w:val="003D3404"/>
    <w:rsid w:val="003D45E5"/>
    <w:rsid w:val="003D4979"/>
    <w:rsid w:val="003D4A71"/>
    <w:rsid w:val="003D4C0F"/>
    <w:rsid w:val="003D4E93"/>
    <w:rsid w:val="003D5057"/>
    <w:rsid w:val="003D797F"/>
    <w:rsid w:val="003D7A7A"/>
    <w:rsid w:val="003E0595"/>
    <w:rsid w:val="003E171C"/>
    <w:rsid w:val="003E20C3"/>
    <w:rsid w:val="003E248C"/>
    <w:rsid w:val="003E27BD"/>
    <w:rsid w:val="003E2BE9"/>
    <w:rsid w:val="003E2E16"/>
    <w:rsid w:val="003E3A8C"/>
    <w:rsid w:val="003E3B95"/>
    <w:rsid w:val="003E3E91"/>
    <w:rsid w:val="003E410D"/>
    <w:rsid w:val="003E4403"/>
    <w:rsid w:val="003E4496"/>
    <w:rsid w:val="003E4ECE"/>
    <w:rsid w:val="003E52F6"/>
    <w:rsid w:val="003E53E5"/>
    <w:rsid w:val="003E545F"/>
    <w:rsid w:val="003E5C2F"/>
    <w:rsid w:val="003E5C34"/>
    <w:rsid w:val="003E642B"/>
    <w:rsid w:val="003E6FB1"/>
    <w:rsid w:val="003E7145"/>
    <w:rsid w:val="003E79EE"/>
    <w:rsid w:val="003F0562"/>
    <w:rsid w:val="003F071C"/>
    <w:rsid w:val="003F08E3"/>
    <w:rsid w:val="003F0A57"/>
    <w:rsid w:val="003F0C5C"/>
    <w:rsid w:val="003F0F28"/>
    <w:rsid w:val="003F13FF"/>
    <w:rsid w:val="003F1EC0"/>
    <w:rsid w:val="003F238B"/>
    <w:rsid w:val="003F263F"/>
    <w:rsid w:val="003F3FEE"/>
    <w:rsid w:val="003F4001"/>
    <w:rsid w:val="003F4241"/>
    <w:rsid w:val="003F48DD"/>
    <w:rsid w:val="003F4D40"/>
    <w:rsid w:val="003F51C2"/>
    <w:rsid w:val="003F523F"/>
    <w:rsid w:val="003F55B6"/>
    <w:rsid w:val="003F55E0"/>
    <w:rsid w:val="003F58F6"/>
    <w:rsid w:val="003F6032"/>
    <w:rsid w:val="003F624B"/>
    <w:rsid w:val="003F692C"/>
    <w:rsid w:val="003F727F"/>
    <w:rsid w:val="003F7948"/>
    <w:rsid w:val="00400AA8"/>
    <w:rsid w:val="00401C0C"/>
    <w:rsid w:val="00401C32"/>
    <w:rsid w:val="00401E0D"/>
    <w:rsid w:val="00402819"/>
    <w:rsid w:val="00402D35"/>
    <w:rsid w:val="00402DBB"/>
    <w:rsid w:val="0040311E"/>
    <w:rsid w:val="00403D35"/>
    <w:rsid w:val="00404309"/>
    <w:rsid w:val="00404F6C"/>
    <w:rsid w:val="004053D3"/>
    <w:rsid w:val="004054F0"/>
    <w:rsid w:val="00405A32"/>
    <w:rsid w:val="00405ACF"/>
    <w:rsid w:val="00405CA4"/>
    <w:rsid w:val="004068AC"/>
    <w:rsid w:val="004070FD"/>
    <w:rsid w:val="0040713C"/>
    <w:rsid w:val="00407603"/>
    <w:rsid w:val="004100A6"/>
    <w:rsid w:val="004103B7"/>
    <w:rsid w:val="00410D3C"/>
    <w:rsid w:val="00410D4C"/>
    <w:rsid w:val="00410F35"/>
    <w:rsid w:val="0041102A"/>
    <w:rsid w:val="004119CA"/>
    <w:rsid w:val="00411E67"/>
    <w:rsid w:val="00411F6A"/>
    <w:rsid w:val="004139A7"/>
    <w:rsid w:val="004140C6"/>
    <w:rsid w:val="0041491B"/>
    <w:rsid w:val="00415451"/>
    <w:rsid w:val="004157FD"/>
    <w:rsid w:val="00415C3D"/>
    <w:rsid w:val="00415D96"/>
    <w:rsid w:val="0041697B"/>
    <w:rsid w:val="00416EFD"/>
    <w:rsid w:val="00417724"/>
    <w:rsid w:val="00417A23"/>
    <w:rsid w:val="00417DDD"/>
    <w:rsid w:val="00420135"/>
    <w:rsid w:val="0042017E"/>
    <w:rsid w:val="00420445"/>
    <w:rsid w:val="00420FA4"/>
    <w:rsid w:val="0042373A"/>
    <w:rsid w:val="00423759"/>
    <w:rsid w:val="00423987"/>
    <w:rsid w:val="00424432"/>
    <w:rsid w:val="004249E1"/>
    <w:rsid w:val="00424FDF"/>
    <w:rsid w:val="0042531B"/>
    <w:rsid w:val="004258C8"/>
    <w:rsid w:val="004268E6"/>
    <w:rsid w:val="00426CFC"/>
    <w:rsid w:val="004305E4"/>
    <w:rsid w:val="0043106A"/>
    <w:rsid w:val="0043148F"/>
    <w:rsid w:val="00432914"/>
    <w:rsid w:val="00432CA6"/>
    <w:rsid w:val="0043323A"/>
    <w:rsid w:val="00433CAB"/>
    <w:rsid w:val="00434082"/>
    <w:rsid w:val="00434474"/>
    <w:rsid w:val="00434950"/>
    <w:rsid w:val="00434A72"/>
    <w:rsid w:val="0043507A"/>
    <w:rsid w:val="00435951"/>
    <w:rsid w:val="00435E2F"/>
    <w:rsid w:val="004369A7"/>
    <w:rsid w:val="00436A94"/>
    <w:rsid w:val="004376A1"/>
    <w:rsid w:val="0043770A"/>
    <w:rsid w:val="00437A99"/>
    <w:rsid w:val="0044086F"/>
    <w:rsid w:val="00440A36"/>
    <w:rsid w:val="00440DF2"/>
    <w:rsid w:val="00440EFA"/>
    <w:rsid w:val="004414F7"/>
    <w:rsid w:val="00441A62"/>
    <w:rsid w:val="00441BA3"/>
    <w:rsid w:val="00441CDB"/>
    <w:rsid w:val="0044278B"/>
    <w:rsid w:val="00442863"/>
    <w:rsid w:val="00443111"/>
    <w:rsid w:val="004433FB"/>
    <w:rsid w:val="004437BE"/>
    <w:rsid w:val="00443E2D"/>
    <w:rsid w:val="004442E5"/>
    <w:rsid w:val="0044488D"/>
    <w:rsid w:val="004458A0"/>
    <w:rsid w:val="00445A15"/>
    <w:rsid w:val="0044651A"/>
    <w:rsid w:val="00446655"/>
    <w:rsid w:val="00446E30"/>
    <w:rsid w:val="00446E9E"/>
    <w:rsid w:val="00447F14"/>
    <w:rsid w:val="004500B5"/>
    <w:rsid w:val="00450272"/>
    <w:rsid w:val="004503D5"/>
    <w:rsid w:val="004506A0"/>
    <w:rsid w:val="0045116F"/>
    <w:rsid w:val="00451995"/>
    <w:rsid w:val="00451F1F"/>
    <w:rsid w:val="004525EB"/>
    <w:rsid w:val="004534FF"/>
    <w:rsid w:val="004539A7"/>
    <w:rsid w:val="00453EA1"/>
    <w:rsid w:val="00453FC4"/>
    <w:rsid w:val="0045428D"/>
    <w:rsid w:val="0045456F"/>
    <w:rsid w:val="004552A5"/>
    <w:rsid w:val="004553E2"/>
    <w:rsid w:val="0045543D"/>
    <w:rsid w:val="0045678C"/>
    <w:rsid w:val="0045691D"/>
    <w:rsid w:val="004572E6"/>
    <w:rsid w:val="004575BC"/>
    <w:rsid w:val="004575CE"/>
    <w:rsid w:val="00457EAF"/>
    <w:rsid w:val="0046093C"/>
    <w:rsid w:val="00460C9A"/>
    <w:rsid w:val="004616A9"/>
    <w:rsid w:val="00461B27"/>
    <w:rsid w:val="0046269A"/>
    <w:rsid w:val="00462B7D"/>
    <w:rsid w:val="004641F1"/>
    <w:rsid w:val="004642E9"/>
    <w:rsid w:val="004659C6"/>
    <w:rsid w:val="00465A44"/>
    <w:rsid w:val="00465AB8"/>
    <w:rsid w:val="0046622F"/>
    <w:rsid w:val="00466836"/>
    <w:rsid w:val="00466BEA"/>
    <w:rsid w:val="00467CA6"/>
    <w:rsid w:val="00467D5B"/>
    <w:rsid w:val="0047069F"/>
    <w:rsid w:val="00470812"/>
    <w:rsid w:val="00470984"/>
    <w:rsid w:val="004709E7"/>
    <w:rsid w:val="00471271"/>
    <w:rsid w:val="004712F5"/>
    <w:rsid w:val="00471DBB"/>
    <w:rsid w:val="00471F5F"/>
    <w:rsid w:val="00473596"/>
    <w:rsid w:val="004740B8"/>
    <w:rsid w:val="004748B7"/>
    <w:rsid w:val="004748DE"/>
    <w:rsid w:val="00474940"/>
    <w:rsid w:val="00474A8C"/>
    <w:rsid w:val="00475678"/>
    <w:rsid w:val="00475D64"/>
    <w:rsid w:val="00475D9D"/>
    <w:rsid w:val="0047632B"/>
    <w:rsid w:val="00476C0B"/>
    <w:rsid w:val="004773D1"/>
    <w:rsid w:val="004775A9"/>
    <w:rsid w:val="00477D67"/>
    <w:rsid w:val="0048012C"/>
    <w:rsid w:val="0048017E"/>
    <w:rsid w:val="00480A3F"/>
    <w:rsid w:val="004810F4"/>
    <w:rsid w:val="00481496"/>
    <w:rsid w:val="00481FBA"/>
    <w:rsid w:val="00482341"/>
    <w:rsid w:val="0048286B"/>
    <w:rsid w:val="004831A2"/>
    <w:rsid w:val="00483C26"/>
    <w:rsid w:val="004843C9"/>
    <w:rsid w:val="004851FE"/>
    <w:rsid w:val="00485525"/>
    <w:rsid w:val="0048584D"/>
    <w:rsid w:val="00485F10"/>
    <w:rsid w:val="004861FF"/>
    <w:rsid w:val="004863AF"/>
    <w:rsid w:val="00487CE8"/>
    <w:rsid w:val="00490701"/>
    <w:rsid w:val="00490D61"/>
    <w:rsid w:val="004911A3"/>
    <w:rsid w:val="004912F9"/>
    <w:rsid w:val="00491822"/>
    <w:rsid w:val="00491DC3"/>
    <w:rsid w:val="00492253"/>
    <w:rsid w:val="00493ACA"/>
    <w:rsid w:val="00493CDA"/>
    <w:rsid w:val="00494C59"/>
    <w:rsid w:val="00494CF5"/>
    <w:rsid w:val="0049594C"/>
    <w:rsid w:val="00495B1B"/>
    <w:rsid w:val="00495C2E"/>
    <w:rsid w:val="00497135"/>
    <w:rsid w:val="0049791F"/>
    <w:rsid w:val="00497F1D"/>
    <w:rsid w:val="004A005F"/>
    <w:rsid w:val="004A05FB"/>
    <w:rsid w:val="004A0700"/>
    <w:rsid w:val="004A107C"/>
    <w:rsid w:val="004A1176"/>
    <w:rsid w:val="004A12D5"/>
    <w:rsid w:val="004A1797"/>
    <w:rsid w:val="004A20F8"/>
    <w:rsid w:val="004A2E22"/>
    <w:rsid w:val="004A35D6"/>
    <w:rsid w:val="004A3804"/>
    <w:rsid w:val="004A38B4"/>
    <w:rsid w:val="004A39A2"/>
    <w:rsid w:val="004A3A91"/>
    <w:rsid w:val="004A4735"/>
    <w:rsid w:val="004A4F40"/>
    <w:rsid w:val="004A65F7"/>
    <w:rsid w:val="004A6D27"/>
    <w:rsid w:val="004A7102"/>
    <w:rsid w:val="004A73B6"/>
    <w:rsid w:val="004A77FE"/>
    <w:rsid w:val="004A7AAB"/>
    <w:rsid w:val="004B00B7"/>
    <w:rsid w:val="004B0221"/>
    <w:rsid w:val="004B0C33"/>
    <w:rsid w:val="004B0F0C"/>
    <w:rsid w:val="004B106A"/>
    <w:rsid w:val="004B2ED8"/>
    <w:rsid w:val="004B2FF2"/>
    <w:rsid w:val="004B3039"/>
    <w:rsid w:val="004B31D0"/>
    <w:rsid w:val="004B3F43"/>
    <w:rsid w:val="004B3FD9"/>
    <w:rsid w:val="004B44E3"/>
    <w:rsid w:val="004B4AAF"/>
    <w:rsid w:val="004B4B0C"/>
    <w:rsid w:val="004B5346"/>
    <w:rsid w:val="004B5908"/>
    <w:rsid w:val="004B6133"/>
    <w:rsid w:val="004B641C"/>
    <w:rsid w:val="004B6697"/>
    <w:rsid w:val="004B672B"/>
    <w:rsid w:val="004B730B"/>
    <w:rsid w:val="004B7486"/>
    <w:rsid w:val="004B772F"/>
    <w:rsid w:val="004B7900"/>
    <w:rsid w:val="004B7AFB"/>
    <w:rsid w:val="004C0D38"/>
    <w:rsid w:val="004C1712"/>
    <w:rsid w:val="004C1AE1"/>
    <w:rsid w:val="004C1D34"/>
    <w:rsid w:val="004C205F"/>
    <w:rsid w:val="004C243F"/>
    <w:rsid w:val="004C2655"/>
    <w:rsid w:val="004C2725"/>
    <w:rsid w:val="004C3097"/>
    <w:rsid w:val="004C34C4"/>
    <w:rsid w:val="004C3DB9"/>
    <w:rsid w:val="004C4363"/>
    <w:rsid w:val="004C4656"/>
    <w:rsid w:val="004C47A0"/>
    <w:rsid w:val="004C4AE3"/>
    <w:rsid w:val="004C4BF0"/>
    <w:rsid w:val="004C4E7B"/>
    <w:rsid w:val="004C55DC"/>
    <w:rsid w:val="004C56B3"/>
    <w:rsid w:val="004C5814"/>
    <w:rsid w:val="004C6281"/>
    <w:rsid w:val="004C62A4"/>
    <w:rsid w:val="004C68C8"/>
    <w:rsid w:val="004C755E"/>
    <w:rsid w:val="004C79DC"/>
    <w:rsid w:val="004C7F90"/>
    <w:rsid w:val="004D06BD"/>
    <w:rsid w:val="004D1C3B"/>
    <w:rsid w:val="004D21F8"/>
    <w:rsid w:val="004D2C4D"/>
    <w:rsid w:val="004D3074"/>
    <w:rsid w:val="004D30C1"/>
    <w:rsid w:val="004D3698"/>
    <w:rsid w:val="004D3C97"/>
    <w:rsid w:val="004D4414"/>
    <w:rsid w:val="004D4580"/>
    <w:rsid w:val="004D533F"/>
    <w:rsid w:val="004D6E32"/>
    <w:rsid w:val="004D722F"/>
    <w:rsid w:val="004D758C"/>
    <w:rsid w:val="004D7B02"/>
    <w:rsid w:val="004E04AB"/>
    <w:rsid w:val="004E0B81"/>
    <w:rsid w:val="004E0C48"/>
    <w:rsid w:val="004E0E53"/>
    <w:rsid w:val="004E0F90"/>
    <w:rsid w:val="004E111C"/>
    <w:rsid w:val="004E1930"/>
    <w:rsid w:val="004E1B22"/>
    <w:rsid w:val="004E206A"/>
    <w:rsid w:val="004E26B4"/>
    <w:rsid w:val="004E284B"/>
    <w:rsid w:val="004E2999"/>
    <w:rsid w:val="004E2E63"/>
    <w:rsid w:val="004E35CD"/>
    <w:rsid w:val="004E3797"/>
    <w:rsid w:val="004E394F"/>
    <w:rsid w:val="004E3C7E"/>
    <w:rsid w:val="004E449A"/>
    <w:rsid w:val="004E4BA9"/>
    <w:rsid w:val="004E5433"/>
    <w:rsid w:val="004E59AE"/>
    <w:rsid w:val="004E63DE"/>
    <w:rsid w:val="004E670B"/>
    <w:rsid w:val="004E6A44"/>
    <w:rsid w:val="004E7179"/>
    <w:rsid w:val="004E76DB"/>
    <w:rsid w:val="004E777B"/>
    <w:rsid w:val="004E7895"/>
    <w:rsid w:val="004F0121"/>
    <w:rsid w:val="004F052F"/>
    <w:rsid w:val="004F0535"/>
    <w:rsid w:val="004F132C"/>
    <w:rsid w:val="004F13C1"/>
    <w:rsid w:val="004F18A0"/>
    <w:rsid w:val="004F1C93"/>
    <w:rsid w:val="004F1D4C"/>
    <w:rsid w:val="004F257F"/>
    <w:rsid w:val="004F27F2"/>
    <w:rsid w:val="004F2C34"/>
    <w:rsid w:val="004F2FED"/>
    <w:rsid w:val="004F3E61"/>
    <w:rsid w:val="004F3F27"/>
    <w:rsid w:val="004F45C4"/>
    <w:rsid w:val="004F49BF"/>
    <w:rsid w:val="004F4D79"/>
    <w:rsid w:val="004F5729"/>
    <w:rsid w:val="004F5CB4"/>
    <w:rsid w:val="004F5F88"/>
    <w:rsid w:val="004F62D4"/>
    <w:rsid w:val="004F631C"/>
    <w:rsid w:val="004F67ED"/>
    <w:rsid w:val="004F6D7C"/>
    <w:rsid w:val="004F6F09"/>
    <w:rsid w:val="004F713C"/>
    <w:rsid w:val="004F72F4"/>
    <w:rsid w:val="004F749A"/>
    <w:rsid w:val="005010AA"/>
    <w:rsid w:val="00501231"/>
    <w:rsid w:val="005014FC"/>
    <w:rsid w:val="005018E9"/>
    <w:rsid w:val="00502134"/>
    <w:rsid w:val="0050261B"/>
    <w:rsid w:val="0050275B"/>
    <w:rsid w:val="00502923"/>
    <w:rsid w:val="005031AA"/>
    <w:rsid w:val="00503EA9"/>
    <w:rsid w:val="005043A2"/>
    <w:rsid w:val="0050446B"/>
    <w:rsid w:val="005049E0"/>
    <w:rsid w:val="005049FB"/>
    <w:rsid w:val="00504B5D"/>
    <w:rsid w:val="00505CDF"/>
    <w:rsid w:val="005071F8"/>
    <w:rsid w:val="005073F6"/>
    <w:rsid w:val="0050789C"/>
    <w:rsid w:val="00507932"/>
    <w:rsid w:val="00507FE7"/>
    <w:rsid w:val="005103F4"/>
    <w:rsid w:val="00510945"/>
    <w:rsid w:val="00510EEC"/>
    <w:rsid w:val="00511385"/>
    <w:rsid w:val="0051141A"/>
    <w:rsid w:val="00511D68"/>
    <w:rsid w:val="00512046"/>
    <w:rsid w:val="00512135"/>
    <w:rsid w:val="005126EC"/>
    <w:rsid w:val="0051412A"/>
    <w:rsid w:val="0051425E"/>
    <w:rsid w:val="005145F5"/>
    <w:rsid w:val="00515316"/>
    <w:rsid w:val="005155DF"/>
    <w:rsid w:val="00515F71"/>
    <w:rsid w:val="005164CC"/>
    <w:rsid w:val="00516849"/>
    <w:rsid w:val="00516EDD"/>
    <w:rsid w:val="005170F7"/>
    <w:rsid w:val="005172FB"/>
    <w:rsid w:val="00517509"/>
    <w:rsid w:val="005177B6"/>
    <w:rsid w:val="00521E24"/>
    <w:rsid w:val="00521EDE"/>
    <w:rsid w:val="005230D9"/>
    <w:rsid w:val="00523162"/>
    <w:rsid w:val="00523905"/>
    <w:rsid w:val="00523E96"/>
    <w:rsid w:val="00524453"/>
    <w:rsid w:val="005249B7"/>
    <w:rsid w:val="005259A1"/>
    <w:rsid w:val="005265F1"/>
    <w:rsid w:val="00526A06"/>
    <w:rsid w:val="00526D00"/>
    <w:rsid w:val="0052701D"/>
    <w:rsid w:val="00527327"/>
    <w:rsid w:val="005273C3"/>
    <w:rsid w:val="00527792"/>
    <w:rsid w:val="00527B28"/>
    <w:rsid w:val="00527CDB"/>
    <w:rsid w:val="00527DD8"/>
    <w:rsid w:val="00530540"/>
    <w:rsid w:val="0053057A"/>
    <w:rsid w:val="00530979"/>
    <w:rsid w:val="00530A35"/>
    <w:rsid w:val="00531FB4"/>
    <w:rsid w:val="005322E5"/>
    <w:rsid w:val="0053271F"/>
    <w:rsid w:val="00533D08"/>
    <w:rsid w:val="00534689"/>
    <w:rsid w:val="00534786"/>
    <w:rsid w:val="00534B97"/>
    <w:rsid w:val="00534D6D"/>
    <w:rsid w:val="005354BB"/>
    <w:rsid w:val="005359C1"/>
    <w:rsid w:val="00535AC8"/>
    <w:rsid w:val="00535C7A"/>
    <w:rsid w:val="005361F2"/>
    <w:rsid w:val="0053636B"/>
    <w:rsid w:val="00536557"/>
    <w:rsid w:val="00536B98"/>
    <w:rsid w:val="00536F52"/>
    <w:rsid w:val="005372AA"/>
    <w:rsid w:val="00537A3A"/>
    <w:rsid w:val="00537D68"/>
    <w:rsid w:val="00537F42"/>
    <w:rsid w:val="00540127"/>
    <w:rsid w:val="005409EE"/>
    <w:rsid w:val="00540C69"/>
    <w:rsid w:val="005415F8"/>
    <w:rsid w:val="00541DB0"/>
    <w:rsid w:val="00542C9C"/>
    <w:rsid w:val="00542CC8"/>
    <w:rsid w:val="00542D14"/>
    <w:rsid w:val="00543267"/>
    <w:rsid w:val="00543492"/>
    <w:rsid w:val="005435A0"/>
    <w:rsid w:val="00543B07"/>
    <w:rsid w:val="00543F44"/>
    <w:rsid w:val="005440CE"/>
    <w:rsid w:val="005445AA"/>
    <w:rsid w:val="005446B5"/>
    <w:rsid w:val="00544BE8"/>
    <w:rsid w:val="00544D22"/>
    <w:rsid w:val="00544DA4"/>
    <w:rsid w:val="00544F8F"/>
    <w:rsid w:val="00545197"/>
    <w:rsid w:val="00545DDB"/>
    <w:rsid w:val="0054619E"/>
    <w:rsid w:val="0054665D"/>
    <w:rsid w:val="00546F10"/>
    <w:rsid w:val="0055047A"/>
    <w:rsid w:val="0055094C"/>
    <w:rsid w:val="00550AD9"/>
    <w:rsid w:val="00550E40"/>
    <w:rsid w:val="00551E8E"/>
    <w:rsid w:val="00552863"/>
    <w:rsid w:val="00552E4A"/>
    <w:rsid w:val="0055325B"/>
    <w:rsid w:val="00553997"/>
    <w:rsid w:val="00553F8B"/>
    <w:rsid w:val="005542BA"/>
    <w:rsid w:val="00554A7F"/>
    <w:rsid w:val="00554BA8"/>
    <w:rsid w:val="00554BFC"/>
    <w:rsid w:val="00554C37"/>
    <w:rsid w:val="00555B88"/>
    <w:rsid w:val="00556403"/>
    <w:rsid w:val="00556407"/>
    <w:rsid w:val="00556BA1"/>
    <w:rsid w:val="00556DD3"/>
    <w:rsid w:val="00557277"/>
    <w:rsid w:val="00557367"/>
    <w:rsid w:val="0055760C"/>
    <w:rsid w:val="0056019A"/>
    <w:rsid w:val="00560C76"/>
    <w:rsid w:val="005613E8"/>
    <w:rsid w:val="00561D7E"/>
    <w:rsid w:val="005627EF"/>
    <w:rsid w:val="00562E69"/>
    <w:rsid w:val="00562EA3"/>
    <w:rsid w:val="00562F30"/>
    <w:rsid w:val="005633C3"/>
    <w:rsid w:val="005636D9"/>
    <w:rsid w:val="00564031"/>
    <w:rsid w:val="00564322"/>
    <w:rsid w:val="00564498"/>
    <w:rsid w:val="005645BC"/>
    <w:rsid w:val="00564741"/>
    <w:rsid w:val="0056477B"/>
    <w:rsid w:val="005647EF"/>
    <w:rsid w:val="005656C8"/>
    <w:rsid w:val="005661A1"/>
    <w:rsid w:val="00566DEB"/>
    <w:rsid w:val="00570111"/>
    <w:rsid w:val="005704FE"/>
    <w:rsid w:val="005712CC"/>
    <w:rsid w:val="00571CB7"/>
    <w:rsid w:val="00571F5D"/>
    <w:rsid w:val="00572EE4"/>
    <w:rsid w:val="00573028"/>
    <w:rsid w:val="0057364F"/>
    <w:rsid w:val="005737A0"/>
    <w:rsid w:val="00573F1C"/>
    <w:rsid w:val="0057405B"/>
    <w:rsid w:val="00574DD7"/>
    <w:rsid w:val="00574EBC"/>
    <w:rsid w:val="0057519A"/>
    <w:rsid w:val="005752EA"/>
    <w:rsid w:val="0057536A"/>
    <w:rsid w:val="00575C63"/>
    <w:rsid w:val="00575DD3"/>
    <w:rsid w:val="005760B8"/>
    <w:rsid w:val="00576C26"/>
    <w:rsid w:val="00576C53"/>
    <w:rsid w:val="00576F2D"/>
    <w:rsid w:val="00580051"/>
    <w:rsid w:val="0058050F"/>
    <w:rsid w:val="00580841"/>
    <w:rsid w:val="0058176B"/>
    <w:rsid w:val="00581A59"/>
    <w:rsid w:val="00581DCD"/>
    <w:rsid w:val="00582233"/>
    <w:rsid w:val="0058235C"/>
    <w:rsid w:val="00582549"/>
    <w:rsid w:val="005826AA"/>
    <w:rsid w:val="00582AEB"/>
    <w:rsid w:val="0058307A"/>
    <w:rsid w:val="005830EC"/>
    <w:rsid w:val="005846E1"/>
    <w:rsid w:val="00584C6A"/>
    <w:rsid w:val="00584F85"/>
    <w:rsid w:val="00585668"/>
    <w:rsid w:val="00585796"/>
    <w:rsid w:val="00585B97"/>
    <w:rsid w:val="00585CB2"/>
    <w:rsid w:val="00585D0A"/>
    <w:rsid w:val="00585F43"/>
    <w:rsid w:val="00586030"/>
    <w:rsid w:val="00586154"/>
    <w:rsid w:val="005862DE"/>
    <w:rsid w:val="005864AB"/>
    <w:rsid w:val="005878D7"/>
    <w:rsid w:val="00587EE1"/>
    <w:rsid w:val="00587F28"/>
    <w:rsid w:val="00590599"/>
    <w:rsid w:val="00591C37"/>
    <w:rsid w:val="00591DD6"/>
    <w:rsid w:val="0059218D"/>
    <w:rsid w:val="00592B2C"/>
    <w:rsid w:val="005931DE"/>
    <w:rsid w:val="005941A0"/>
    <w:rsid w:val="00594C2E"/>
    <w:rsid w:val="00594E74"/>
    <w:rsid w:val="005954C3"/>
    <w:rsid w:val="00595589"/>
    <w:rsid w:val="005956BA"/>
    <w:rsid w:val="00595967"/>
    <w:rsid w:val="00596371"/>
    <w:rsid w:val="0059641E"/>
    <w:rsid w:val="005973A6"/>
    <w:rsid w:val="005977CF"/>
    <w:rsid w:val="00597CFC"/>
    <w:rsid w:val="00597DEB"/>
    <w:rsid w:val="00597F65"/>
    <w:rsid w:val="005A0468"/>
    <w:rsid w:val="005A085A"/>
    <w:rsid w:val="005A116D"/>
    <w:rsid w:val="005A12D2"/>
    <w:rsid w:val="005A1790"/>
    <w:rsid w:val="005A2036"/>
    <w:rsid w:val="005A24ED"/>
    <w:rsid w:val="005A2738"/>
    <w:rsid w:val="005A2881"/>
    <w:rsid w:val="005A2AAC"/>
    <w:rsid w:val="005A2BE2"/>
    <w:rsid w:val="005A2C49"/>
    <w:rsid w:val="005A373F"/>
    <w:rsid w:val="005A44AE"/>
    <w:rsid w:val="005A4F71"/>
    <w:rsid w:val="005A5687"/>
    <w:rsid w:val="005A5E54"/>
    <w:rsid w:val="005A5F77"/>
    <w:rsid w:val="005A6389"/>
    <w:rsid w:val="005A64CC"/>
    <w:rsid w:val="005A6788"/>
    <w:rsid w:val="005A6CB0"/>
    <w:rsid w:val="005A6E73"/>
    <w:rsid w:val="005A70F0"/>
    <w:rsid w:val="005A7199"/>
    <w:rsid w:val="005A7877"/>
    <w:rsid w:val="005B03C3"/>
    <w:rsid w:val="005B0B43"/>
    <w:rsid w:val="005B1E0E"/>
    <w:rsid w:val="005B1E5E"/>
    <w:rsid w:val="005B24F7"/>
    <w:rsid w:val="005B29E8"/>
    <w:rsid w:val="005B3E98"/>
    <w:rsid w:val="005B3EAE"/>
    <w:rsid w:val="005B4DF5"/>
    <w:rsid w:val="005B4FA1"/>
    <w:rsid w:val="005B5281"/>
    <w:rsid w:val="005B55AC"/>
    <w:rsid w:val="005B590F"/>
    <w:rsid w:val="005B5C6D"/>
    <w:rsid w:val="005B600E"/>
    <w:rsid w:val="005B6BE1"/>
    <w:rsid w:val="005B6E42"/>
    <w:rsid w:val="005B6EB3"/>
    <w:rsid w:val="005B7197"/>
    <w:rsid w:val="005B741D"/>
    <w:rsid w:val="005C050B"/>
    <w:rsid w:val="005C0AA1"/>
    <w:rsid w:val="005C33A5"/>
    <w:rsid w:val="005C3440"/>
    <w:rsid w:val="005C35CA"/>
    <w:rsid w:val="005C3B19"/>
    <w:rsid w:val="005C3FDF"/>
    <w:rsid w:val="005C4836"/>
    <w:rsid w:val="005C505E"/>
    <w:rsid w:val="005C50A3"/>
    <w:rsid w:val="005C5668"/>
    <w:rsid w:val="005C56F7"/>
    <w:rsid w:val="005C5AAE"/>
    <w:rsid w:val="005C6209"/>
    <w:rsid w:val="005C67A9"/>
    <w:rsid w:val="005C6A33"/>
    <w:rsid w:val="005C6B9C"/>
    <w:rsid w:val="005C711A"/>
    <w:rsid w:val="005C7261"/>
    <w:rsid w:val="005C787F"/>
    <w:rsid w:val="005D03D5"/>
    <w:rsid w:val="005D13EB"/>
    <w:rsid w:val="005D1866"/>
    <w:rsid w:val="005D21A9"/>
    <w:rsid w:val="005D23B1"/>
    <w:rsid w:val="005D2469"/>
    <w:rsid w:val="005D2739"/>
    <w:rsid w:val="005D282A"/>
    <w:rsid w:val="005D3448"/>
    <w:rsid w:val="005D3EBB"/>
    <w:rsid w:val="005D67BF"/>
    <w:rsid w:val="005D69EE"/>
    <w:rsid w:val="005D6A65"/>
    <w:rsid w:val="005D70A7"/>
    <w:rsid w:val="005D7BFA"/>
    <w:rsid w:val="005E02B8"/>
    <w:rsid w:val="005E04CF"/>
    <w:rsid w:val="005E09BC"/>
    <w:rsid w:val="005E14F0"/>
    <w:rsid w:val="005E19CB"/>
    <w:rsid w:val="005E2486"/>
    <w:rsid w:val="005E2524"/>
    <w:rsid w:val="005E2B9A"/>
    <w:rsid w:val="005E31C1"/>
    <w:rsid w:val="005E48B8"/>
    <w:rsid w:val="005E48E7"/>
    <w:rsid w:val="005E5928"/>
    <w:rsid w:val="005E597E"/>
    <w:rsid w:val="005E5C11"/>
    <w:rsid w:val="005E660C"/>
    <w:rsid w:val="005E7F11"/>
    <w:rsid w:val="005F009D"/>
    <w:rsid w:val="005F01D3"/>
    <w:rsid w:val="005F129F"/>
    <w:rsid w:val="005F1AD1"/>
    <w:rsid w:val="005F1CEB"/>
    <w:rsid w:val="005F1D8F"/>
    <w:rsid w:val="005F2039"/>
    <w:rsid w:val="005F31CC"/>
    <w:rsid w:val="005F3ADA"/>
    <w:rsid w:val="005F497E"/>
    <w:rsid w:val="005F49AF"/>
    <w:rsid w:val="005F51A9"/>
    <w:rsid w:val="005F5220"/>
    <w:rsid w:val="005F5C2A"/>
    <w:rsid w:val="005F661B"/>
    <w:rsid w:val="005F6A5E"/>
    <w:rsid w:val="005F72CF"/>
    <w:rsid w:val="005F796A"/>
    <w:rsid w:val="005F7B92"/>
    <w:rsid w:val="00600191"/>
    <w:rsid w:val="006001E9"/>
    <w:rsid w:val="00600281"/>
    <w:rsid w:val="00600377"/>
    <w:rsid w:val="006005D7"/>
    <w:rsid w:val="00600EA2"/>
    <w:rsid w:val="00601245"/>
    <w:rsid w:val="006012F5"/>
    <w:rsid w:val="006016D1"/>
    <w:rsid w:val="00601BD6"/>
    <w:rsid w:val="006020EA"/>
    <w:rsid w:val="006027DF"/>
    <w:rsid w:val="0060310A"/>
    <w:rsid w:val="00603695"/>
    <w:rsid w:val="006037A8"/>
    <w:rsid w:val="00603DA6"/>
    <w:rsid w:val="00604716"/>
    <w:rsid w:val="006047E0"/>
    <w:rsid w:val="0060545F"/>
    <w:rsid w:val="00605FB6"/>
    <w:rsid w:val="00606088"/>
    <w:rsid w:val="0060619B"/>
    <w:rsid w:val="00606529"/>
    <w:rsid w:val="00606635"/>
    <w:rsid w:val="00606D65"/>
    <w:rsid w:val="00607796"/>
    <w:rsid w:val="0060782B"/>
    <w:rsid w:val="0060792C"/>
    <w:rsid w:val="006108BB"/>
    <w:rsid w:val="00610A78"/>
    <w:rsid w:val="00610B0E"/>
    <w:rsid w:val="006110B4"/>
    <w:rsid w:val="006113F3"/>
    <w:rsid w:val="00611547"/>
    <w:rsid w:val="00611A18"/>
    <w:rsid w:val="00611B62"/>
    <w:rsid w:val="00611D4A"/>
    <w:rsid w:val="00614125"/>
    <w:rsid w:val="00614901"/>
    <w:rsid w:val="00614F10"/>
    <w:rsid w:val="00614F22"/>
    <w:rsid w:val="00615415"/>
    <w:rsid w:val="00615B70"/>
    <w:rsid w:val="006166EA"/>
    <w:rsid w:val="00616A99"/>
    <w:rsid w:val="00616C6E"/>
    <w:rsid w:val="00617247"/>
    <w:rsid w:val="00617973"/>
    <w:rsid w:val="00617B25"/>
    <w:rsid w:val="00617C10"/>
    <w:rsid w:val="0062014C"/>
    <w:rsid w:val="0062044A"/>
    <w:rsid w:val="006205BE"/>
    <w:rsid w:val="00620956"/>
    <w:rsid w:val="00620B3F"/>
    <w:rsid w:val="00620CEF"/>
    <w:rsid w:val="00620DD9"/>
    <w:rsid w:val="00620E5D"/>
    <w:rsid w:val="00620F03"/>
    <w:rsid w:val="00621810"/>
    <w:rsid w:val="00621A3F"/>
    <w:rsid w:val="00621ACE"/>
    <w:rsid w:val="00622B5D"/>
    <w:rsid w:val="00622E8D"/>
    <w:rsid w:val="00623164"/>
    <w:rsid w:val="006234AF"/>
    <w:rsid w:val="00623675"/>
    <w:rsid w:val="0062376C"/>
    <w:rsid w:val="00623A48"/>
    <w:rsid w:val="006241D9"/>
    <w:rsid w:val="006244E8"/>
    <w:rsid w:val="00624EA6"/>
    <w:rsid w:val="00625030"/>
    <w:rsid w:val="0062564C"/>
    <w:rsid w:val="00625AEB"/>
    <w:rsid w:val="00625ED0"/>
    <w:rsid w:val="00626A46"/>
    <w:rsid w:val="00626ECF"/>
    <w:rsid w:val="0062703E"/>
    <w:rsid w:val="00627810"/>
    <w:rsid w:val="00630004"/>
    <w:rsid w:val="0063046F"/>
    <w:rsid w:val="006306A2"/>
    <w:rsid w:val="006307C2"/>
    <w:rsid w:val="0063135F"/>
    <w:rsid w:val="00631E0D"/>
    <w:rsid w:val="00632400"/>
    <w:rsid w:val="006324F0"/>
    <w:rsid w:val="00632659"/>
    <w:rsid w:val="00633543"/>
    <w:rsid w:val="00633BBF"/>
    <w:rsid w:val="00633C32"/>
    <w:rsid w:val="00633D97"/>
    <w:rsid w:val="00634055"/>
    <w:rsid w:val="00634213"/>
    <w:rsid w:val="00634573"/>
    <w:rsid w:val="00634875"/>
    <w:rsid w:val="00634AFF"/>
    <w:rsid w:val="00635774"/>
    <w:rsid w:val="006361F7"/>
    <w:rsid w:val="00636F23"/>
    <w:rsid w:val="00636F63"/>
    <w:rsid w:val="0063710F"/>
    <w:rsid w:val="006373C8"/>
    <w:rsid w:val="006375AF"/>
    <w:rsid w:val="006378DA"/>
    <w:rsid w:val="00637D4C"/>
    <w:rsid w:val="0064043A"/>
    <w:rsid w:val="00640C5C"/>
    <w:rsid w:val="00640E34"/>
    <w:rsid w:val="00641385"/>
    <w:rsid w:val="0064167F"/>
    <w:rsid w:val="00641690"/>
    <w:rsid w:val="006435CD"/>
    <w:rsid w:val="006435E4"/>
    <w:rsid w:val="00643A66"/>
    <w:rsid w:val="0064465C"/>
    <w:rsid w:val="0064466A"/>
    <w:rsid w:val="00644F83"/>
    <w:rsid w:val="0064555E"/>
    <w:rsid w:val="006455A2"/>
    <w:rsid w:val="006455E1"/>
    <w:rsid w:val="00645E8C"/>
    <w:rsid w:val="00646555"/>
    <w:rsid w:val="00646837"/>
    <w:rsid w:val="00646950"/>
    <w:rsid w:val="00646B33"/>
    <w:rsid w:val="00647A0E"/>
    <w:rsid w:val="00647AD2"/>
    <w:rsid w:val="00647EFC"/>
    <w:rsid w:val="006513C0"/>
    <w:rsid w:val="006517AC"/>
    <w:rsid w:val="00651ECA"/>
    <w:rsid w:val="006525CB"/>
    <w:rsid w:val="00652A55"/>
    <w:rsid w:val="00652CAB"/>
    <w:rsid w:val="00652DCF"/>
    <w:rsid w:val="00652DE7"/>
    <w:rsid w:val="00653146"/>
    <w:rsid w:val="00653300"/>
    <w:rsid w:val="006541FD"/>
    <w:rsid w:val="006554FD"/>
    <w:rsid w:val="00655844"/>
    <w:rsid w:val="00655F83"/>
    <w:rsid w:val="00656398"/>
    <w:rsid w:val="006573AB"/>
    <w:rsid w:val="00657A62"/>
    <w:rsid w:val="00657F44"/>
    <w:rsid w:val="006601EA"/>
    <w:rsid w:val="00660424"/>
    <w:rsid w:val="006604F1"/>
    <w:rsid w:val="00660820"/>
    <w:rsid w:val="00660A59"/>
    <w:rsid w:val="006621A4"/>
    <w:rsid w:val="00663026"/>
    <w:rsid w:val="006631EB"/>
    <w:rsid w:val="0066379F"/>
    <w:rsid w:val="00663C96"/>
    <w:rsid w:val="00664436"/>
    <w:rsid w:val="00664789"/>
    <w:rsid w:val="00665805"/>
    <w:rsid w:val="0066668C"/>
    <w:rsid w:val="00667130"/>
    <w:rsid w:val="006672F5"/>
    <w:rsid w:val="0066730A"/>
    <w:rsid w:val="006677E2"/>
    <w:rsid w:val="00667849"/>
    <w:rsid w:val="006700DC"/>
    <w:rsid w:val="00670212"/>
    <w:rsid w:val="0067082C"/>
    <w:rsid w:val="00670C01"/>
    <w:rsid w:val="00670F08"/>
    <w:rsid w:val="00671A48"/>
    <w:rsid w:val="00671A99"/>
    <w:rsid w:val="00671C61"/>
    <w:rsid w:val="00672AA5"/>
    <w:rsid w:val="0067359F"/>
    <w:rsid w:val="00673CC3"/>
    <w:rsid w:val="00673CD3"/>
    <w:rsid w:val="006740FA"/>
    <w:rsid w:val="0067436F"/>
    <w:rsid w:val="00674506"/>
    <w:rsid w:val="006748EF"/>
    <w:rsid w:val="00674C5A"/>
    <w:rsid w:val="00675AA4"/>
    <w:rsid w:val="00675D81"/>
    <w:rsid w:val="006766CF"/>
    <w:rsid w:val="006766F8"/>
    <w:rsid w:val="00676825"/>
    <w:rsid w:val="00676844"/>
    <w:rsid w:val="00676BCE"/>
    <w:rsid w:val="00676FC8"/>
    <w:rsid w:val="0067714B"/>
    <w:rsid w:val="00677F1C"/>
    <w:rsid w:val="006803E5"/>
    <w:rsid w:val="00680820"/>
    <w:rsid w:val="0068087E"/>
    <w:rsid w:val="00680BD9"/>
    <w:rsid w:val="00681404"/>
    <w:rsid w:val="0068160F"/>
    <w:rsid w:val="00681718"/>
    <w:rsid w:val="00681BB7"/>
    <w:rsid w:val="00684033"/>
    <w:rsid w:val="00684329"/>
    <w:rsid w:val="00684559"/>
    <w:rsid w:val="006845D2"/>
    <w:rsid w:val="00684FD4"/>
    <w:rsid w:val="00685713"/>
    <w:rsid w:val="00685944"/>
    <w:rsid w:val="0068691E"/>
    <w:rsid w:val="00687357"/>
    <w:rsid w:val="00687B25"/>
    <w:rsid w:val="00690060"/>
    <w:rsid w:val="00690542"/>
    <w:rsid w:val="00690BF7"/>
    <w:rsid w:val="006910CB"/>
    <w:rsid w:val="00691251"/>
    <w:rsid w:val="00691D7C"/>
    <w:rsid w:val="006924FA"/>
    <w:rsid w:val="0069303B"/>
    <w:rsid w:val="00693092"/>
    <w:rsid w:val="00693552"/>
    <w:rsid w:val="006936D8"/>
    <w:rsid w:val="00693BD5"/>
    <w:rsid w:val="00693BF9"/>
    <w:rsid w:val="00693EE1"/>
    <w:rsid w:val="00694852"/>
    <w:rsid w:val="00694F68"/>
    <w:rsid w:val="0069516F"/>
    <w:rsid w:val="00695923"/>
    <w:rsid w:val="00695BFC"/>
    <w:rsid w:val="00695EBF"/>
    <w:rsid w:val="00696567"/>
    <w:rsid w:val="0069683E"/>
    <w:rsid w:val="00697450"/>
    <w:rsid w:val="00697F73"/>
    <w:rsid w:val="006A0739"/>
    <w:rsid w:val="006A0BE2"/>
    <w:rsid w:val="006A10E5"/>
    <w:rsid w:val="006A130C"/>
    <w:rsid w:val="006A136E"/>
    <w:rsid w:val="006A1759"/>
    <w:rsid w:val="006A1BA9"/>
    <w:rsid w:val="006A4095"/>
    <w:rsid w:val="006A458D"/>
    <w:rsid w:val="006A4936"/>
    <w:rsid w:val="006A4B68"/>
    <w:rsid w:val="006A5311"/>
    <w:rsid w:val="006A53C4"/>
    <w:rsid w:val="006A53F9"/>
    <w:rsid w:val="006A550F"/>
    <w:rsid w:val="006A5D3A"/>
    <w:rsid w:val="006A69A5"/>
    <w:rsid w:val="006A73A9"/>
    <w:rsid w:val="006A73BD"/>
    <w:rsid w:val="006A79E9"/>
    <w:rsid w:val="006A7BCB"/>
    <w:rsid w:val="006B0F45"/>
    <w:rsid w:val="006B1415"/>
    <w:rsid w:val="006B1C38"/>
    <w:rsid w:val="006B1E71"/>
    <w:rsid w:val="006B34B9"/>
    <w:rsid w:val="006B3786"/>
    <w:rsid w:val="006B3B46"/>
    <w:rsid w:val="006B3EC2"/>
    <w:rsid w:val="006B43FD"/>
    <w:rsid w:val="006B4B0C"/>
    <w:rsid w:val="006B52B5"/>
    <w:rsid w:val="006B547C"/>
    <w:rsid w:val="006B54FC"/>
    <w:rsid w:val="006B5CB8"/>
    <w:rsid w:val="006B5D29"/>
    <w:rsid w:val="006B6174"/>
    <w:rsid w:val="006B6A47"/>
    <w:rsid w:val="006C017B"/>
    <w:rsid w:val="006C05E8"/>
    <w:rsid w:val="006C1633"/>
    <w:rsid w:val="006C1859"/>
    <w:rsid w:val="006C1AC6"/>
    <w:rsid w:val="006C25D6"/>
    <w:rsid w:val="006C2B1A"/>
    <w:rsid w:val="006C2BEC"/>
    <w:rsid w:val="006C2E9C"/>
    <w:rsid w:val="006C3031"/>
    <w:rsid w:val="006C4150"/>
    <w:rsid w:val="006C45A2"/>
    <w:rsid w:val="006C4EEA"/>
    <w:rsid w:val="006C4F07"/>
    <w:rsid w:val="006C5577"/>
    <w:rsid w:val="006C65C9"/>
    <w:rsid w:val="006C65F0"/>
    <w:rsid w:val="006C7A96"/>
    <w:rsid w:val="006D0262"/>
    <w:rsid w:val="006D09CF"/>
    <w:rsid w:val="006D0D5E"/>
    <w:rsid w:val="006D1BB6"/>
    <w:rsid w:val="006D1E2A"/>
    <w:rsid w:val="006D2607"/>
    <w:rsid w:val="006D2827"/>
    <w:rsid w:val="006D30B1"/>
    <w:rsid w:val="006D32F0"/>
    <w:rsid w:val="006D3375"/>
    <w:rsid w:val="006D388F"/>
    <w:rsid w:val="006D3F6B"/>
    <w:rsid w:val="006D40D5"/>
    <w:rsid w:val="006D4260"/>
    <w:rsid w:val="006D468A"/>
    <w:rsid w:val="006D5215"/>
    <w:rsid w:val="006D5826"/>
    <w:rsid w:val="006D614A"/>
    <w:rsid w:val="006D6490"/>
    <w:rsid w:val="006D74E7"/>
    <w:rsid w:val="006D7F3D"/>
    <w:rsid w:val="006E0018"/>
    <w:rsid w:val="006E0849"/>
    <w:rsid w:val="006E0C7E"/>
    <w:rsid w:val="006E1558"/>
    <w:rsid w:val="006E1E88"/>
    <w:rsid w:val="006E1F66"/>
    <w:rsid w:val="006E2A1D"/>
    <w:rsid w:val="006E2AD1"/>
    <w:rsid w:val="006E30B5"/>
    <w:rsid w:val="006E3377"/>
    <w:rsid w:val="006E4186"/>
    <w:rsid w:val="006E419A"/>
    <w:rsid w:val="006E4778"/>
    <w:rsid w:val="006E5AB0"/>
    <w:rsid w:val="006E7590"/>
    <w:rsid w:val="006E783E"/>
    <w:rsid w:val="006F032C"/>
    <w:rsid w:val="006F0A1C"/>
    <w:rsid w:val="006F0A6D"/>
    <w:rsid w:val="006F0E75"/>
    <w:rsid w:val="006F0EBE"/>
    <w:rsid w:val="006F1465"/>
    <w:rsid w:val="006F1748"/>
    <w:rsid w:val="006F1AEC"/>
    <w:rsid w:val="006F1D77"/>
    <w:rsid w:val="006F36E7"/>
    <w:rsid w:val="006F3A15"/>
    <w:rsid w:val="006F3DBF"/>
    <w:rsid w:val="006F3E69"/>
    <w:rsid w:val="006F3EBA"/>
    <w:rsid w:val="006F43E9"/>
    <w:rsid w:val="006F48F0"/>
    <w:rsid w:val="006F51AA"/>
    <w:rsid w:val="006F5791"/>
    <w:rsid w:val="006F5802"/>
    <w:rsid w:val="006F6087"/>
    <w:rsid w:val="006F6DDF"/>
    <w:rsid w:val="006F6EAF"/>
    <w:rsid w:val="006F73B4"/>
    <w:rsid w:val="006F7A8D"/>
    <w:rsid w:val="007001CD"/>
    <w:rsid w:val="0070085B"/>
    <w:rsid w:val="0070152A"/>
    <w:rsid w:val="00701942"/>
    <w:rsid w:val="0070307A"/>
    <w:rsid w:val="0070432E"/>
    <w:rsid w:val="00704B80"/>
    <w:rsid w:val="00705A5E"/>
    <w:rsid w:val="00705C72"/>
    <w:rsid w:val="007060B6"/>
    <w:rsid w:val="007064BA"/>
    <w:rsid w:val="0070691A"/>
    <w:rsid w:val="00707C06"/>
    <w:rsid w:val="00707DA4"/>
    <w:rsid w:val="00710F52"/>
    <w:rsid w:val="007112EA"/>
    <w:rsid w:val="0071182C"/>
    <w:rsid w:val="00712098"/>
    <w:rsid w:val="007126B1"/>
    <w:rsid w:val="0071288C"/>
    <w:rsid w:val="007129BE"/>
    <w:rsid w:val="007134BD"/>
    <w:rsid w:val="007135FC"/>
    <w:rsid w:val="0071376B"/>
    <w:rsid w:val="00713BDA"/>
    <w:rsid w:val="00713FE9"/>
    <w:rsid w:val="00714D88"/>
    <w:rsid w:val="007157D4"/>
    <w:rsid w:val="00715D13"/>
    <w:rsid w:val="00715D8C"/>
    <w:rsid w:val="007167AC"/>
    <w:rsid w:val="007169BA"/>
    <w:rsid w:val="007176B4"/>
    <w:rsid w:val="00717A8F"/>
    <w:rsid w:val="00717E13"/>
    <w:rsid w:val="00717E75"/>
    <w:rsid w:val="0072036E"/>
    <w:rsid w:val="007203AD"/>
    <w:rsid w:val="00720B05"/>
    <w:rsid w:val="00720DF7"/>
    <w:rsid w:val="00721073"/>
    <w:rsid w:val="007218C4"/>
    <w:rsid w:val="00721A01"/>
    <w:rsid w:val="00721ADD"/>
    <w:rsid w:val="00721F99"/>
    <w:rsid w:val="007229D0"/>
    <w:rsid w:val="00722B07"/>
    <w:rsid w:val="00722C63"/>
    <w:rsid w:val="00722F3C"/>
    <w:rsid w:val="00723436"/>
    <w:rsid w:val="007235CC"/>
    <w:rsid w:val="00723A21"/>
    <w:rsid w:val="00723A2E"/>
    <w:rsid w:val="00723BA7"/>
    <w:rsid w:val="00723EB9"/>
    <w:rsid w:val="00723FF3"/>
    <w:rsid w:val="00723FF9"/>
    <w:rsid w:val="0072422F"/>
    <w:rsid w:val="007252E6"/>
    <w:rsid w:val="007258A6"/>
    <w:rsid w:val="00725C26"/>
    <w:rsid w:val="007262E2"/>
    <w:rsid w:val="00726822"/>
    <w:rsid w:val="00726A3F"/>
    <w:rsid w:val="0072720E"/>
    <w:rsid w:val="00727B9F"/>
    <w:rsid w:val="00727C5B"/>
    <w:rsid w:val="00730CA5"/>
    <w:rsid w:val="007310D0"/>
    <w:rsid w:val="007311A1"/>
    <w:rsid w:val="00731289"/>
    <w:rsid w:val="00731640"/>
    <w:rsid w:val="00731895"/>
    <w:rsid w:val="0073265B"/>
    <w:rsid w:val="00732B2B"/>
    <w:rsid w:val="00732E9D"/>
    <w:rsid w:val="0073328E"/>
    <w:rsid w:val="00733DD8"/>
    <w:rsid w:val="0073423C"/>
    <w:rsid w:val="00734571"/>
    <w:rsid w:val="0073519B"/>
    <w:rsid w:val="00735793"/>
    <w:rsid w:val="00735CB5"/>
    <w:rsid w:val="00736521"/>
    <w:rsid w:val="007365EA"/>
    <w:rsid w:val="0073697A"/>
    <w:rsid w:val="00736B86"/>
    <w:rsid w:val="00736C23"/>
    <w:rsid w:val="00736D31"/>
    <w:rsid w:val="00736E52"/>
    <w:rsid w:val="00737266"/>
    <w:rsid w:val="0074003C"/>
    <w:rsid w:val="007416A7"/>
    <w:rsid w:val="0074175A"/>
    <w:rsid w:val="00741A76"/>
    <w:rsid w:val="00742514"/>
    <w:rsid w:val="00742B49"/>
    <w:rsid w:val="00742D01"/>
    <w:rsid w:val="007432E3"/>
    <w:rsid w:val="00743ADC"/>
    <w:rsid w:val="00743CAD"/>
    <w:rsid w:val="00743F25"/>
    <w:rsid w:val="00744B64"/>
    <w:rsid w:val="00744F27"/>
    <w:rsid w:val="007455E5"/>
    <w:rsid w:val="007458AC"/>
    <w:rsid w:val="00745B4B"/>
    <w:rsid w:val="00745BBE"/>
    <w:rsid w:val="00746538"/>
    <w:rsid w:val="0074666E"/>
    <w:rsid w:val="00746AB3"/>
    <w:rsid w:val="00746AF1"/>
    <w:rsid w:val="007473D3"/>
    <w:rsid w:val="00747AF2"/>
    <w:rsid w:val="00750A49"/>
    <w:rsid w:val="00750C6B"/>
    <w:rsid w:val="00750E31"/>
    <w:rsid w:val="007518A2"/>
    <w:rsid w:val="00751D0A"/>
    <w:rsid w:val="00751E6A"/>
    <w:rsid w:val="00752FE3"/>
    <w:rsid w:val="0075308E"/>
    <w:rsid w:val="00753C4C"/>
    <w:rsid w:val="0075437D"/>
    <w:rsid w:val="007543BB"/>
    <w:rsid w:val="0075445A"/>
    <w:rsid w:val="007544F8"/>
    <w:rsid w:val="00754779"/>
    <w:rsid w:val="00754A69"/>
    <w:rsid w:val="00754D07"/>
    <w:rsid w:val="00755C5E"/>
    <w:rsid w:val="007567BC"/>
    <w:rsid w:val="00756FC8"/>
    <w:rsid w:val="0075721D"/>
    <w:rsid w:val="00757534"/>
    <w:rsid w:val="0076043C"/>
    <w:rsid w:val="0076045A"/>
    <w:rsid w:val="00760B94"/>
    <w:rsid w:val="007615B1"/>
    <w:rsid w:val="007621B7"/>
    <w:rsid w:val="00762638"/>
    <w:rsid w:val="00762870"/>
    <w:rsid w:val="00762FA7"/>
    <w:rsid w:val="007630C2"/>
    <w:rsid w:val="00763238"/>
    <w:rsid w:val="00763813"/>
    <w:rsid w:val="0076389C"/>
    <w:rsid w:val="00763B15"/>
    <w:rsid w:val="00763C46"/>
    <w:rsid w:val="00763FBE"/>
    <w:rsid w:val="007642A3"/>
    <w:rsid w:val="00764C93"/>
    <w:rsid w:val="00764F3B"/>
    <w:rsid w:val="00765262"/>
    <w:rsid w:val="00765EAE"/>
    <w:rsid w:val="0076681B"/>
    <w:rsid w:val="00766A5F"/>
    <w:rsid w:val="00766FF5"/>
    <w:rsid w:val="007672FE"/>
    <w:rsid w:val="0076782A"/>
    <w:rsid w:val="0077029B"/>
    <w:rsid w:val="00770B98"/>
    <w:rsid w:val="00771B14"/>
    <w:rsid w:val="0077215E"/>
    <w:rsid w:val="007724CB"/>
    <w:rsid w:val="00772845"/>
    <w:rsid w:val="007728C6"/>
    <w:rsid w:val="00772A96"/>
    <w:rsid w:val="00773A89"/>
    <w:rsid w:val="00773BBD"/>
    <w:rsid w:val="00773CB7"/>
    <w:rsid w:val="007744DA"/>
    <w:rsid w:val="007745AC"/>
    <w:rsid w:val="00774C7F"/>
    <w:rsid w:val="007761DB"/>
    <w:rsid w:val="00776515"/>
    <w:rsid w:val="007772CB"/>
    <w:rsid w:val="0077754F"/>
    <w:rsid w:val="007777D8"/>
    <w:rsid w:val="00777CB4"/>
    <w:rsid w:val="007801CE"/>
    <w:rsid w:val="00780268"/>
    <w:rsid w:val="00780488"/>
    <w:rsid w:val="0078070D"/>
    <w:rsid w:val="00780B8D"/>
    <w:rsid w:val="00780C23"/>
    <w:rsid w:val="00781868"/>
    <w:rsid w:val="00781B5D"/>
    <w:rsid w:val="00781FA2"/>
    <w:rsid w:val="0078228C"/>
    <w:rsid w:val="007837CF"/>
    <w:rsid w:val="00783C19"/>
    <w:rsid w:val="0078514C"/>
    <w:rsid w:val="00785184"/>
    <w:rsid w:val="007855B5"/>
    <w:rsid w:val="00785D34"/>
    <w:rsid w:val="00786AA5"/>
    <w:rsid w:val="00786B7F"/>
    <w:rsid w:val="00787394"/>
    <w:rsid w:val="007879DA"/>
    <w:rsid w:val="00787A46"/>
    <w:rsid w:val="00790669"/>
    <w:rsid w:val="00790C85"/>
    <w:rsid w:val="00790DC4"/>
    <w:rsid w:val="00791276"/>
    <w:rsid w:val="007915AD"/>
    <w:rsid w:val="00791AE3"/>
    <w:rsid w:val="00791EA7"/>
    <w:rsid w:val="0079266A"/>
    <w:rsid w:val="00793A9D"/>
    <w:rsid w:val="00793C1E"/>
    <w:rsid w:val="00793E38"/>
    <w:rsid w:val="00793E83"/>
    <w:rsid w:val="007951CA"/>
    <w:rsid w:val="00795507"/>
    <w:rsid w:val="00795844"/>
    <w:rsid w:val="00795928"/>
    <w:rsid w:val="00795AB7"/>
    <w:rsid w:val="007961B5"/>
    <w:rsid w:val="007968C7"/>
    <w:rsid w:val="00796DDE"/>
    <w:rsid w:val="00796F63"/>
    <w:rsid w:val="007A0088"/>
    <w:rsid w:val="007A046A"/>
    <w:rsid w:val="007A06E4"/>
    <w:rsid w:val="007A084B"/>
    <w:rsid w:val="007A18D8"/>
    <w:rsid w:val="007A20ED"/>
    <w:rsid w:val="007A28F7"/>
    <w:rsid w:val="007A2A0A"/>
    <w:rsid w:val="007A2FC6"/>
    <w:rsid w:val="007A3F8B"/>
    <w:rsid w:val="007A4085"/>
    <w:rsid w:val="007A46C4"/>
    <w:rsid w:val="007A4EA6"/>
    <w:rsid w:val="007A4ED8"/>
    <w:rsid w:val="007A5C38"/>
    <w:rsid w:val="007A6122"/>
    <w:rsid w:val="007A684A"/>
    <w:rsid w:val="007A6EB2"/>
    <w:rsid w:val="007A73F0"/>
    <w:rsid w:val="007A7417"/>
    <w:rsid w:val="007A7755"/>
    <w:rsid w:val="007A7E02"/>
    <w:rsid w:val="007A7FD7"/>
    <w:rsid w:val="007B0A9F"/>
    <w:rsid w:val="007B0F94"/>
    <w:rsid w:val="007B0FBB"/>
    <w:rsid w:val="007B0FF1"/>
    <w:rsid w:val="007B108D"/>
    <w:rsid w:val="007B1344"/>
    <w:rsid w:val="007B1662"/>
    <w:rsid w:val="007B1820"/>
    <w:rsid w:val="007B1FEC"/>
    <w:rsid w:val="007B1FF1"/>
    <w:rsid w:val="007B22CF"/>
    <w:rsid w:val="007B23C4"/>
    <w:rsid w:val="007B25FD"/>
    <w:rsid w:val="007B2E1A"/>
    <w:rsid w:val="007B35E4"/>
    <w:rsid w:val="007B3A97"/>
    <w:rsid w:val="007B3C80"/>
    <w:rsid w:val="007B3F86"/>
    <w:rsid w:val="007B4529"/>
    <w:rsid w:val="007B59D2"/>
    <w:rsid w:val="007B5C6D"/>
    <w:rsid w:val="007B5D4E"/>
    <w:rsid w:val="007B63E9"/>
    <w:rsid w:val="007B6A0F"/>
    <w:rsid w:val="007B6A84"/>
    <w:rsid w:val="007B746F"/>
    <w:rsid w:val="007B7DDB"/>
    <w:rsid w:val="007C08AB"/>
    <w:rsid w:val="007C179F"/>
    <w:rsid w:val="007C17C0"/>
    <w:rsid w:val="007C1990"/>
    <w:rsid w:val="007C1A3E"/>
    <w:rsid w:val="007C270C"/>
    <w:rsid w:val="007C2716"/>
    <w:rsid w:val="007C27DC"/>
    <w:rsid w:val="007C2AA6"/>
    <w:rsid w:val="007C3672"/>
    <w:rsid w:val="007C42E6"/>
    <w:rsid w:val="007C43C4"/>
    <w:rsid w:val="007C4C30"/>
    <w:rsid w:val="007C534F"/>
    <w:rsid w:val="007C559C"/>
    <w:rsid w:val="007C56FF"/>
    <w:rsid w:val="007C6025"/>
    <w:rsid w:val="007C6235"/>
    <w:rsid w:val="007C63FA"/>
    <w:rsid w:val="007C6DE1"/>
    <w:rsid w:val="007C727E"/>
    <w:rsid w:val="007C72BF"/>
    <w:rsid w:val="007C7716"/>
    <w:rsid w:val="007C780A"/>
    <w:rsid w:val="007C7FB0"/>
    <w:rsid w:val="007D0D7A"/>
    <w:rsid w:val="007D12A4"/>
    <w:rsid w:val="007D1CCE"/>
    <w:rsid w:val="007D1D91"/>
    <w:rsid w:val="007D1F35"/>
    <w:rsid w:val="007D22FC"/>
    <w:rsid w:val="007D25F4"/>
    <w:rsid w:val="007D2C82"/>
    <w:rsid w:val="007D3152"/>
    <w:rsid w:val="007D343C"/>
    <w:rsid w:val="007D37C5"/>
    <w:rsid w:val="007D3CA0"/>
    <w:rsid w:val="007D4D48"/>
    <w:rsid w:val="007D4F44"/>
    <w:rsid w:val="007D5394"/>
    <w:rsid w:val="007D555C"/>
    <w:rsid w:val="007D557E"/>
    <w:rsid w:val="007D5742"/>
    <w:rsid w:val="007D5EBC"/>
    <w:rsid w:val="007D6BD9"/>
    <w:rsid w:val="007D6E99"/>
    <w:rsid w:val="007D70C9"/>
    <w:rsid w:val="007D772F"/>
    <w:rsid w:val="007E0153"/>
    <w:rsid w:val="007E04C0"/>
    <w:rsid w:val="007E0557"/>
    <w:rsid w:val="007E0F67"/>
    <w:rsid w:val="007E1195"/>
    <w:rsid w:val="007E1E6A"/>
    <w:rsid w:val="007E346A"/>
    <w:rsid w:val="007E357D"/>
    <w:rsid w:val="007E3E51"/>
    <w:rsid w:val="007E483A"/>
    <w:rsid w:val="007E492F"/>
    <w:rsid w:val="007E4CC0"/>
    <w:rsid w:val="007E572F"/>
    <w:rsid w:val="007E6568"/>
    <w:rsid w:val="007E6D4A"/>
    <w:rsid w:val="007E7DE6"/>
    <w:rsid w:val="007F0B20"/>
    <w:rsid w:val="007F1795"/>
    <w:rsid w:val="007F18F3"/>
    <w:rsid w:val="007F1E05"/>
    <w:rsid w:val="007F2351"/>
    <w:rsid w:val="007F2614"/>
    <w:rsid w:val="007F331B"/>
    <w:rsid w:val="007F3321"/>
    <w:rsid w:val="007F4A9D"/>
    <w:rsid w:val="007F4ACC"/>
    <w:rsid w:val="007F4C04"/>
    <w:rsid w:val="007F4CEE"/>
    <w:rsid w:val="007F55E5"/>
    <w:rsid w:val="007F587E"/>
    <w:rsid w:val="007F5F4D"/>
    <w:rsid w:val="007F63B0"/>
    <w:rsid w:val="007F6CEE"/>
    <w:rsid w:val="007F6E0C"/>
    <w:rsid w:val="007F7646"/>
    <w:rsid w:val="007F7968"/>
    <w:rsid w:val="00800402"/>
    <w:rsid w:val="008008E2"/>
    <w:rsid w:val="00800B3D"/>
    <w:rsid w:val="00800D12"/>
    <w:rsid w:val="008010CC"/>
    <w:rsid w:val="008023EA"/>
    <w:rsid w:val="008025C0"/>
    <w:rsid w:val="00802665"/>
    <w:rsid w:val="0080293D"/>
    <w:rsid w:val="00803AF5"/>
    <w:rsid w:val="00803F39"/>
    <w:rsid w:val="0080411F"/>
    <w:rsid w:val="00804652"/>
    <w:rsid w:val="00804BA0"/>
    <w:rsid w:val="00804F04"/>
    <w:rsid w:val="00806655"/>
    <w:rsid w:val="00806A56"/>
    <w:rsid w:val="00806D02"/>
    <w:rsid w:val="00806E68"/>
    <w:rsid w:val="00807670"/>
    <w:rsid w:val="0080790D"/>
    <w:rsid w:val="0081025F"/>
    <w:rsid w:val="008106D6"/>
    <w:rsid w:val="00810E85"/>
    <w:rsid w:val="00811660"/>
    <w:rsid w:val="008117B0"/>
    <w:rsid w:val="00811C6E"/>
    <w:rsid w:val="0081243E"/>
    <w:rsid w:val="00813591"/>
    <w:rsid w:val="00813D8E"/>
    <w:rsid w:val="00813DD3"/>
    <w:rsid w:val="0081451C"/>
    <w:rsid w:val="00814E6F"/>
    <w:rsid w:val="00817BB2"/>
    <w:rsid w:val="00820159"/>
    <w:rsid w:val="008204A8"/>
    <w:rsid w:val="00821153"/>
    <w:rsid w:val="00821CD1"/>
    <w:rsid w:val="00821E61"/>
    <w:rsid w:val="00822001"/>
    <w:rsid w:val="00822330"/>
    <w:rsid w:val="0082347A"/>
    <w:rsid w:val="008241B1"/>
    <w:rsid w:val="00824984"/>
    <w:rsid w:val="00824FAA"/>
    <w:rsid w:val="00824FE1"/>
    <w:rsid w:val="00825146"/>
    <w:rsid w:val="008252C2"/>
    <w:rsid w:val="008255DB"/>
    <w:rsid w:val="008259C9"/>
    <w:rsid w:val="00825B88"/>
    <w:rsid w:val="00825ECF"/>
    <w:rsid w:val="008261BE"/>
    <w:rsid w:val="0082641B"/>
    <w:rsid w:val="00826719"/>
    <w:rsid w:val="008267E8"/>
    <w:rsid w:val="008269B8"/>
    <w:rsid w:val="008279DF"/>
    <w:rsid w:val="00827D00"/>
    <w:rsid w:val="00830547"/>
    <w:rsid w:val="008310F0"/>
    <w:rsid w:val="00831B9D"/>
    <w:rsid w:val="00832113"/>
    <w:rsid w:val="00832366"/>
    <w:rsid w:val="00832911"/>
    <w:rsid w:val="008331C3"/>
    <w:rsid w:val="00833236"/>
    <w:rsid w:val="00834926"/>
    <w:rsid w:val="00834AC2"/>
    <w:rsid w:val="00834D8F"/>
    <w:rsid w:val="0083533B"/>
    <w:rsid w:val="0083536D"/>
    <w:rsid w:val="008354D4"/>
    <w:rsid w:val="00835600"/>
    <w:rsid w:val="00835C54"/>
    <w:rsid w:val="008366ED"/>
    <w:rsid w:val="008368D7"/>
    <w:rsid w:val="00836AC0"/>
    <w:rsid w:val="00836BDD"/>
    <w:rsid w:val="00836EA2"/>
    <w:rsid w:val="00836EA6"/>
    <w:rsid w:val="00836F77"/>
    <w:rsid w:val="008372CD"/>
    <w:rsid w:val="008374DE"/>
    <w:rsid w:val="00837A7C"/>
    <w:rsid w:val="00840241"/>
    <w:rsid w:val="00840544"/>
    <w:rsid w:val="00840EF5"/>
    <w:rsid w:val="00841F31"/>
    <w:rsid w:val="0084200F"/>
    <w:rsid w:val="0084202E"/>
    <w:rsid w:val="008421B7"/>
    <w:rsid w:val="00842A4E"/>
    <w:rsid w:val="008437F9"/>
    <w:rsid w:val="008438EC"/>
    <w:rsid w:val="00843A2A"/>
    <w:rsid w:val="00843BFC"/>
    <w:rsid w:val="008447A0"/>
    <w:rsid w:val="00844B42"/>
    <w:rsid w:val="008455A9"/>
    <w:rsid w:val="00845699"/>
    <w:rsid w:val="0084589C"/>
    <w:rsid w:val="00845A48"/>
    <w:rsid w:val="00845BD8"/>
    <w:rsid w:val="0084625B"/>
    <w:rsid w:val="008465B4"/>
    <w:rsid w:val="00846A5D"/>
    <w:rsid w:val="0084711A"/>
    <w:rsid w:val="00847D49"/>
    <w:rsid w:val="00847F41"/>
    <w:rsid w:val="00850761"/>
    <w:rsid w:val="00850C02"/>
    <w:rsid w:val="008510CE"/>
    <w:rsid w:val="00851D6D"/>
    <w:rsid w:val="00851FF2"/>
    <w:rsid w:val="00852151"/>
    <w:rsid w:val="0085225B"/>
    <w:rsid w:val="00852A37"/>
    <w:rsid w:val="00852A66"/>
    <w:rsid w:val="00852D11"/>
    <w:rsid w:val="00853131"/>
    <w:rsid w:val="00853A6C"/>
    <w:rsid w:val="00853D47"/>
    <w:rsid w:val="00854155"/>
    <w:rsid w:val="00854A82"/>
    <w:rsid w:val="008552D1"/>
    <w:rsid w:val="00855C12"/>
    <w:rsid w:val="00855E3A"/>
    <w:rsid w:val="008561BD"/>
    <w:rsid w:val="008570DA"/>
    <w:rsid w:val="00857288"/>
    <w:rsid w:val="0086023A"/>
    <w:rsid w:val="00860C33"/>
    <w:rsid w:val="008613D2"/>
    <w:rsid w:val="00861B3C"/>
    <w:rsid w:val="00862116"/>
    <w:rsid w:val="00862F31"/>
    <w:rsid w:val="008633B2"/>
    <w:rsid w:val="00863786"/>
    <w:rsid w:val="008638F7"/>
    <w:rsid w:val="00863990"/>
    <w:rsid w:val="00864B49"/>
    <w:rsid w:val="00865431"/>
    <w:rsid w:val="008660ED"/>
    <w:rsid w:val="0086643C"/>
    <w:rsid w:val="008664C7"/>
    <w:rsid w:val="0086697D"/>
    <w:rsid w:val="008670E7"/>
    <w:rsid w:val="008671C3"/>
    <w:rsid w:val="0086730C"/>
    <w:rsid w:val="008676BA"/>
    <w:rsid w:val="008677E0"/>
    <w:rsid w:val="00867BC3"/>
    <w:rsid w:val="00867BE7"/>
    <w:rsid w:val="00867E1D"/>
    <w:rsid w:val="00870667"/>
    <w:rsid w:val="00870A47"/>
    <w:rsid w:val="0087103B"/>
    <w:rsid w:val="0087163F"/>
    <w:rsid w:val="0087237C"/>
    <w:rsid w:val="00872F37"/>
    <w:rsid w:val="008736ED"/>
    <w:rsid w:val="00873896"/>
    <w:rsid w:val="00873A84"/>
    <w:rsid w:val="008743BC"/>
    <w:rsid w:val="008747DB"/>
    <w:rsid w:val="00874828"/>
    <w:rsid w:val="00874B91"/>
    <w:rsid w:val="00874B97"/>
    <w:rsid w:val="00874C09"/>
    <w:rsid w:val="00874F0A"/>
    <w:rsid w:val="008752E3"/>
    <w:rsid w:val="00875960"/>
    <w:rsid w:val="008759AB"/>
    <w:rsid w:val="00875D0C"/>
    <w:rsid w:val="00875E08"/>
    <w:rsid w:val="00876914"/>
    <w:rsid w:val="008776A4"/>
    <w:rsid w:val="008777B9"/>
    <w:rsid w:val="00877A96"/>
    <w:rsid w:val="00880AB6"/>
    <w:rsid w:val="00880CD2"/>
    <w:rsid w:val="00881BC3"/>
    <w:rsid w:val="00881C78"/>
    <w:rsid w:val="00881C9B"/>
    <w:rsid w:val="0088210E"/>
    <w:rsid w:val="00882579"/>
    <w:rsid w:val="008828E0"/>
    <w:rsid w:val="00882936"/>
    <w:rsid w:val="00882A07"/>
    <w:rsid w:val="00882AE3"/>
    <w:rsid w:val="00882B18"/>
    <w:rsid w:val="00882F92"/>
    <w:rsid w:val="00882F9A"/>
    <w:rsid w:val="00883474"/>
    <w:rsid w:val="008835B4"/>
    <w:rsid w:val="0088363D"/>
    <w:rsid w:val="0088427E"/>
    <w:rsid w:val="00885251"/>
    <w:rsid w:val="008852B0"/>
    <w:rsid w:val="00885F93"/>
    <w:rsid w:val="0088631D"/>
    <w:rsid w:val="0088665E"/>
    <w:rsid w:val="00886B90"/>
    <w:rsid w:val="00887A6C"/>
    <w:rsid w:val="008902DC"/>
    <w:rsid w:val="008904F3"/>
    <w:rsid w:val="008907F0"/>
    <w:rsid w:val="00890A28"/>
    <w:rsid w:val="00890F06"/>
    <w:rsid w:val="00891AD1"/>
    <w:rsid w:val="00891CA5"/>
    <w:rsid w:val="00891CB4"/>
    <w:rsid w:val="00891CD9"/>
    <w:rsid w:val="00892130"/>
    <w:rsid w:val="00892680"/>
    <w:rsid w:val="00892BC7"/>
    <w:rsid w:val="00892E38"/>
    <w:rsid w:val="008931E3"/>
    <w:rsid w:val="00893ABD"/>
    <w:rsid w:val="00893CFA"/>
    <w:rsid w:val="00894110"/>
    <w:rsid w:val="008950F9"/>
    <w:rsid w:val="008952D9"/>
    <w:rsid w:val="008953BD"/>
    <w:rsid w:val="00895D87"/>
    <w:rsid w:val="00896636"/>
    <w:rsid w:val="00896FC3"/>
    <w:rsid w:val="00897070"/>
    <w:rsid w:val="008971F2"/>
    <w:rsid w:val="0089729F"/>
    <w:rsid w:val="008974FE"/>
    <w:rsid w:val="0089782B"/>
    <w:rsid w:val="00897ABE"/>
    <w:rsid w:val="008A0620"/>
    <w:rsid w:val="008A088D"/>
    <w:rsid w:val="008A1BE5"/>
    <w:rsid w:val="008A1E95"/>
    <w:rsid w:val="008A258F"/>
    <w:rsid w:val="008A2790"/>
    <w:rsid w:val="008A31E7"/>
    <w:rsid w:val="008A3A51"/>
    <w:rsid w:val="008A3C89"/>
    <w:rsid w:val="008A3CB5"/>
    <w:rsid w:val="008A4039"/>
    <w:rsid w:val="008A4047"/>
    <w:rsid w:val="008A4958"/>
    <w:rsid w:val="008A4B7B"/>
    <w:rsid w:val="008A4D02"/>
    <w:rsid w:val="008A5064"/>
    <w:rsid w:val="008A5431"/>
    <w:rsid w:val="008A5480"/>
    <w:rsid w:val="008A56FF"/>
    <w:rsid w:val="008A5B02"/>
    <w:rsid w:val="008A5C45"/>
    <w:rsid w:val="008A5CF5"/>
    <w:rsid w:val="008A7047"/>
    <w:rsid w:val="008A7520"/>
    <w:rsid w:val="008A75D6"/>
    <w:rsid w:val="008A76A2"/>
    <w:rsid w:val="008A79CA"/>
    <w:rsid w:val="008B015C"/>
    <w:rsid w:val="008B069E"/>
    <w:rsid w:val="008B0DB8"/>
    <w:rsid w:val="008B2A22"/>
    <w:rsid w:val="008B2AA6"/>
    <w:rsid w:val="008B2CA0"/>
    <w:rsid w:val="008B3BD1"/>
    <w:rsid w:val="008B3D58"/>
    <w:rsid w:val="008B3EE4"/>
    <w:rsid w:val="008B4194"/>
    <w:rsid w:val="008B5E3A"/>
    <w:rsid w:val="008B64B9"/>
    <w:rsid w:val="008B6DDA"/>
    <w:rsid w:val="008B6FA2"/>
    <w:rsid w:val="008C0266"/>
    <w:rsid w:val="008C026E"/>
    <w:rsid w:val="008C0487"/>
    <w:rsid w:val="008C06F5"/>
    <w:rsid w:val="008C0925"/>
    <w:rsid w:val="008C0B3D"/>
    <w:rsid w:val="008C0FF9"/>
    <w:rsid w:val="008C15E2"/>
    <w:rsid w:val="008C1969"/>
    <w:rsid w:val="008C2048"/>
    <w:rsid w:val="008C2103"/>
    <w:rsid w:val="008C23B1"/>
    <w:rsid w:val="008C2804"/>
    <w:rsid w:val="008C30FC"/>
    <w:rsid w:val="008C33BD"/>
    <w:rsid w:val="008C3E2A"/>
    <w:rsid w:val="008C3F38"/>
    <w:rsid w:val="008C460C"/>
    <w:rsid w:val="008C4CEC"/>
    <w:rsid w:val="008C4D72"/>
    <w:rsid w:val="008C4F48"/>
    <w:rsid w:val="008C53FD"/>
    <w:rsid w:val="008C5CCE"/>
    <w:rsid w:val="008C5CE0"/>
    <w:rsid w:val="008C610C"/>
    <w:rsid w:val="008C6908"/>
    <w:rsid w:val="008C7B62"/>
    <w:rsid w:val="008D08C8"/>
    <w:rsid w:val="008D0D8C"/>
    <w:rsid w:val="008D10C3"/>
    <w:rsid w:val="008D1234"/>
    <w:rsid w:val="008D1BE5"/>
    <w:rsid w:val="008D1EA5"/>
    <w:rsid w:val="008D2524"/>
    <w:rsid w:val="008D2642"/>
    <w:rsid w:val="008D2E58"/>
    <w:rsid w:val="008D2EB9"/>
    <w:rsid w:val="008D4556"/>
    <w:rsid w:val="008D534E"/>
    <w:rsid w:val="008D5592"/>
    <w:rsid w:val="008D5826"/>
    <w:rsid w:val="008D5A2A"/>
    <w:rsid w:val="008D6350"/>
    <w:rsid w:val="008D6DB9"/>
    <w:rsid w:val="008D709C"/>
    <w:rsid w:val="008D71D3"/>
    <w:rsid w:val="008D7E8F"/>
    <w:rsid w:val="008E0E26"/>
    <w:rsid w:val="008E1928"/>
    <w:rsid w:val="008E1C41"/>
    <w:rsid w:val="008E209C"/>
    <w:rsid w:val="008E23D1"/>
    <w:rsid w:val="008E26DB"/>
    <w:rsid w:val="008E2883"/>
    <w:rsid w:val="008E2CA2"/>
    <w:rsid w:val="008E2EA6"/>
    <w:rsid w:val="008E375A"/>
    <w:rsid w:val="008E3942"/>
    <w:rsid w:val="008E3DF8"/>
    <w:rsid w:val="008E4D05"/>
    <w:rsid w:val="008E5DFA"/>
    <w:rsid w:val="008E666D"/>
    <w:rsid w:val="008E751E"/>
    <w:rsid w:val="008E7BD5"/>
    <w:rsid w:val="008F07F5"/>
    <w:rsid w:val="008F0FE3"/>
    <w:rsid w:val="008F1405"/>
    <w:rsid w:val="008F151F"/>
    <w:rsid w:val="008F169A"/>
    <w:rsid w:val="008F1905"/>
    <w:rsid w:val="008F1999"/>
    <w:rsid w:val="008F1E5A"/>
    <w:rsid w:val="008F293C"/>
    <w:rsid w:val="008F2AF4"/>
    <w:rsid w:val="008F3200"/>
    <w:rsid w:val="008F369A"/>
    <w:rsid w:val="008F3785"/>
    <w:rsid w:val="008F431F"/>
    <w:rsid w:val="008F46D5"/>
    <w:rsid w:val="008F4963"/>
    <w:rsid w:val="008F4F30"/>
    <w:rsid w:val="008F5496"/>
    <w:rsid w:val="008F54B5"/>
    <w:rsid w:val="008F5983"/>
    <w:rsid w:val="008F5D3E"/>
    <w:rsid w:val="008F6DB6"/>
    <w:rsid w:val="008F70C3"/>
    <w:rsid w:val="008F71BC"/>
    <w:rsid w:val="008F793E"/>
    <w:rsid w:val="008F7A7F"/>
    <w:rsid w:val="008F7E25"/>
    <w:rsid w:val="009003D6"/>
    <w:rsid w:val="00900562"/>
    <w:rsid w:val="00900852"/>
    <w:rsid w:val="009012F5"/>
    <w:rsid w:val="00902183"/>
    <w:rsid w:val="0090284F"/>
    <w:rsid w:val="00902950"/>
    <w:rsid w:val="009030EC"/>
    <w:rsid w:val="009039D0"/>
    <w:rsid w:val="00903ECB"/>
    <w:rsid w:val="00904B78"/>
    <w:rsid w:val="00904E45"/>
    <w:rsid w:val="0090504C"/>
    <w:rsid w:val="00905B4B"/>
    <w:rsid w:val="00905C12"/>
    <w:rsid w:val="009065F0"/>
    <w:rsid w:val="00907BD9"/>
    <w:rsid w:val="009104BB"/>
    <w:rsid w:val="00910B2F"/>
    <w:rsid w:val="009111B3"/>
    <w:rsid w:val="00911576"/>
    <w:rsid w:val="00911E72"/>
    <w:rsid w:val="009129DB"/>
    <w:rsid w:val="00912B7C"/>
    <w:rsid w:val="00912C5D"/>
    <w:rsid w:val="0091322D"/>
    <w:rsid w:val="00913411"/>
    <w:rsid w:val="009134A8"/>
    <w:rsid w:val="00913657"/>
    <w:rsid w:val="00913870"/>
    <w:rsid w:val="00913CCC"/>
    <w:rsid w:val="009149C0"/>
    <w:rsid w:val="00914ABE"/>
    <w:rsid w:val="00914E2E"/>
    <w:rsid w:val="009153D8"/>
    <w:rsid w:val="009161F5"/>
    <w:rsid w:val="009163C8"/>
    <w:rsid w:val="009165AA"/>
    <w:rsid w:val="00916652"/>
    <w:rsid w:val="009168E7"/>
    <w:rsid w:val="00917459"/>
    <w:rsid w:val="00920228"/>
    <w:rsid w:val="00920644"/>
    <w:rsid w:val="0092097C"/>
    <w:rsid w:val="009222DA"/>
    <w:rsid w:val="009227ED"/>
    <w:rsid w:val="00922B57"/>
    <w:rsid w:val="0092322C"/>
    <w:rsid w:val="00923905"/>
    <w:rsid w:val="00924692"/>
    <w:rsid w:val="00924F43"/>
    <w:rsid w:val="009257B0"/>
    <w:rsid w:val="0092587B"/>
    <w:rsid w:val="009262AD"/>
    <w:rsid w:val="0092650F"/>
    <w:rsid w:val="009268DE"/>
    <w:rsid w:val="00926CDF"/>
    <w:rsid w:val="00927139"/>
    <w:rsid w:val="0093082B"/>
    <w:rsid w:val="0093091E"/>
    <w:rsid w:val="00931327"/>
    <w:rsid w:val="00931557"/>
    <w:rsid w:val="00931A09"/>
    <w:rsid w:val="00932A98"/>
    <w:rsid w:val="00934365"/>
    <w:rsid w:val="00934B45"/>
    <w:rsid w:val="00934B6B"/>
    <w:rsid w:val="00934B8F"/>
    <w:rsid w:val="009351F3"/>
    <w:rsid w:val="009352B7"/>
    <w:rsid w:val="009354AA"/>
    <w:rsid w:val="00936143"/>
    <w:rsid w:val="009364EF"/>
    <w:rsid w:val="009366D1"/>
    <w:rsid w:val="00936F1E"/>
    <w:rsid w:val="009372D6"/>
    <w:rsid w:val="0093796B"/>
    <w:rsid w:val="00940155"/>
    <w:rsid w:val="009403AD"/>
    <w:rsid w:val="00940C4F"/>
    <w:rsid w:val="00940F07"/>
    <w:rsid w:val="0094164C"/>
    <w:rsid w:val="00941B8F"/>
    <w:rsid w:val="00941E9F"/>
    <w:rsid w:val="00942262"/>
    <w:rsid w:val="00942829"/>
    <w:rsid w:val="00942B12"/>
    <w:rsid w:val="00942F89"/>
    <w:rsid w:val="0094367C"/>
    <w:rsid w:val="00943EB3"/>
    <w:rsid w:val="009442C7"/>
    <w:rsid w:val="00944E04"/>
    <w:rsid w:val="009453B4"/>
    <w:rsid w:val="009454F1"/>
    <w:rsid w:val="00945718"/>
    <w:rsid w:val="009467EB"/>
    <w:rsid w:val="00946C18"/>
    <w:rsid w:val="00946CA5"/>
    <w:rsid w:val="00946FC1"/>
    <w:rsid w:val="009470DA"/>
    <w:rsid w:val="00947B46"/>
    <w:rsid w:val="00947D50"/>
    <w:rsid w:val="009507F1"/>
    <w:rsid w:val="00950A76"/>
    <w:rsid w:val="00950B92"/>
    <w:rsid w:val="0095148C"/>
    <w:rsid w:val="009521A4"/>
    <w:rsid w:val="0095293A"/>
    <w:rsid w:val="00952B70"/>
    <w:rsid w:val="00952ED5"/>
    <w:rsid w:val="0095362A"/>
    <w:rsid w:val="009539B7"/>
    <w:rsid w:val="009540B6"/>
    <w:rsid w:val="00954141"/>
    <w:rsid w:val="009542B6"/>
    <w:rsid w:val="009544AF"/>
    <w:rsid w:val="00954F8A"/>
    <w:rsid w:val="009551C1"/>
    <w:rsid w:val="00955461"/>
    <w:rsid w:val="0095643F"/>
    <w:rsid w:val="0095652F"/>
    <w:rsid w:val="00957350"/>
    <w:rsid w:val="00957DF5"/>
    <w:rsid w:val="00960256"/>
    <w:rsid w:val="00960658"/>
    <w:rsid w:val="00961066"/>
    <w:rsid w:val="00961A83"/>
    <w:rsid w:val="00961C59"/>
    <w:rsid w:val="009626B0"/>
    <w:rsid w:val="00963E5D"/>
    <w:rsid w:val="00964756"/>
    <w:rsid w:val="00964891"/>
    <w:rsid w:val="00965274"/>
    <w:rsid w:val="0096527F"/>
    <w:rsid w:val="00965A5C"/>
    <w:rsid w:val="00965D25"/>
    <w:rsid w:val="00965E10"/>
    <w:rsid w:val="009660E9"/>
    <w:rsid w:val="009661BF"/>
    <w:rsid w:val="00966E1B"/>
    <w:rsid w:val="00967801"/>
    <w:rsid w:val="00967929"/>
    <w:rsid w:val="009707DB"/>
    <w:rsid w:val="009707FD"/>
    <w:rsid w:val="009712B4"/>
    <w:rsid w:val="00971933"/>
    <w:rsid w:val="00971F6A"/>
    <w:rsid w:val="00972C87"/>
    <w:rsid w:val="00972C9F"/>
    <w:rsid w:val="00972FB7"/>
    <w:rsid w:val="009732DB"/>
    <w:rsid w:val="00973582"/>
    <w:rsid w:val="00973605"/>
    <w:rsid w:val="009746BB"/>
    <w:rsid w:val="00974E29"/>
    <w:rsid w:val="00975451"/>
    <w:rsid w:val="009754DA"/>
    <w:rsid w:val="00976E6D"/>
    <w:rsid w:val="0097730C"/>
    <w:rsid w:val="00977920"/>
    <w:rsid w:val="0097792A"/>
    <w:rsid w:val="00977D13"/>
    <w:rsid w:val="00977F68"/>
    <w:rsid w:val="00977FE2"/>
    <w:rsid w:val="00980207"/>
    <w:rsid w:val="009814F1"/>
    <w:rsid w:val="009825C7"/>
    <w:rsid w:val="00982E85"/>
    <w:rsid w:val="00983776"/>
    <w:rsid w:val="00983AAA"/>
    <w:rsid w:val="009840E9"/>
    <w:rsid w:val="009848A4"/>
    <w:rsid w:val="009849B6"/>
    <w:rsid w:val="0098546F"/>
    <w:rsid w:val="00985989"/>
    <w:rsid w:val="009859DB"/>
    <w:rsid w:val="00985B50"/>
    <w:rsid w:val="00987042"/>
    <w:rsid w:val="00987074"/>
    <w:rsid w:val="00987B21"/>
    <w:rsid w:val="009901D0"/>
    <w:rsid w:val="00990520"/>
    <w:rsid w:val="00990F14"/>
    <w:rsid w:val="0099193A"/>
    <w:rsid w:val="00991E50"/>
    <w:rsid w:val="00992BFD"/>
    <w:rsid w:val="00992C4E"/>
    <w:rsid w:val="00992C9A"/>
    <w:rsid w:val="0099369C"/>
    <w:rsid w:val="009959A9"/>
    <w:rsid w:val="00995F9B"/>
    <w:rsid w:val="0099644F"/>
    <w:rsid w:val="00997411"/>
    <w:rsid w:val="009A0234"/>
    <w:rsid w:val="009A0854"/>
    <w:rsid w:val="009A1067"/>
    <w:rsid w:val="009A1910"/>
    <w:rsid w:val="009A2031"/>
    <w:rsid w:val="009A2C9F"/>
    <w:rsid w:val="009A40EB"/>
    <w:rsid w:val="009A4D2F"/>
    <w:rsid w:val="009A638B"/>
    <w:rsid w:val="009A7115"/>
    <w:rsid w:val="009A76BA"/>
    <w:rsid w:val="009A7814"/>
    <w:rsid w:val="009A7861"/>
    <w:rsid w:val="009A7ED2"/>
    <w:rsid w:val="009B063C"/>
    <w:rsid w:val="009B0B08"/>
    <w:rsid w:val="009B11B6"/>
    <w:rsid w:val="009B1E9B"/>
    <w:rsid w:val="009B208A"/>
    <w:rsid w:val="009B2897"/>
    <w:rsid w:val="009B3277"/>
    <w:rsid w:val="009B3548"/>
    <w:rsid w:val="009B37B7"/>
    <w:rsid w:val="009B3820"/>
    <w:rsid w:val="009B3A05"/>
    <w:rsid w:val="009B3C89"/>
    <w:rsid w:val="009B3F0D"/>
    <w:rsid w:val="009B4413"/>
    <w:rsid w:val="009B4E24"/>
    <w:rsid w:val="009B4E48"/>
    <w:rsid w:val="009B5484"/>
    <w:rsid w:val="009B5716"/>
    <w:rsid w:val="009B61BD"/>
    <w:rsid w:val="009B66F1"/>
    <w:rsid w:val="009B7414"/>
    <w:rsid w:val="009B7859"/>
    <w:rsid w:val="009B7981"/>
    <w:rsid w:val="009C0C44"/>
    <w:rsid w:val="009C117B"/>
    <w:rsid w:val="009C12AC"/>
    <w:rsid w:val="009C1461"/>
    <w:rsid w:val="009C195C"/>
    <w:rsid w:val="009C2258"/>
    <w:rsid w:val="009C2C1E"/>
    <w:rsid w:val="009C2CDD"/>
    <w:rsid w:val="009C31EB"/>
    <w:rsid w:val="009C3218"/>
    <w:rsid w:val="009C33CB"/>
    <w:rsid w:val="009C35A9"/>
    <w:rsid w:val="009C3A57"/>
    <w:rsid w:val="009C3E40"/>
    <w:rsid w:val="009C4570"/>
    <w:rsid w:val="009C4772"/>
    <w:rsid w:val="009C496A"/>
    <w:rsid w:val="009C4A19"/>
    <w:rsid w:val="009C4BA9"/>
    <w:rsid w:val="009C5828"/>
    <w:rsid w:val="009C5E23"/>
    <w:rsid w:val="009C6EBD"/>
    <w:rsid w:val="009C79B6"/>
    <w:rsid w:val="009C7E4A"/>
    <w:rsid w:val="009D010C"/>
    <w:rsid w:val="009D037D"/>
    <w:rsid w:val="009D05EE"/>
    <w:rsid w:val="009D0626"/>
    <w:rsid w:val="009D078A"/>
    <w:rsid w:val="009D142B"/>
    <w:rsid w:val="009D1E34"/>
    <w:rsid w:val="009D28E7"/>
    <w:rsid w:val="009D2CF7"/>
    <w:rsid w:val="009D3789"/>
    <w:rsid w:val="009D386F"/>
    <w:rsid w:val="009D44AE"/>
    <w:rsid w:val="009D492A"/>
    <w:rsid w:val="009D4DCF"/>
    <w:rsid w:val="009D52B6"/>
    <w:rsid w:val="009D571C"/>
    <w:rsid w:val="009D621A"/>
    <w:rsid w:val="009D6733"/>
    <w:rsid w:val="009D6E75"/>
    <w:rsid w:val="009D7247"/>
    <w:rsid w:val="009D75A2"/>
    <w:rsid w:val="009D77E7"/>
    <w:rsid w:val="009D7C80"/>
    <w:rsid w:val="009E014C"/>
    <w:rsid w:val="009E07F5"/>
    <w:rsid w:val="009E0946"/>
    <w:rsid w:val="009E0A89"/>
    <w:rsid w:val="009E0F63"/>
    <w:rsid w:val="009E1A31"/>
    <w:rsid w:val="009E1B0D"/>
    <w:rsid w:val="009E200E"/>
    <w:rsid w:val="009E2FD8"/>
    <w:rsid w:val="009E30C0"/>
    <w:rsid w:val="009E30EB"/>
    <w:rsid w:val="009E3A4D"/>
    <w:rsid w:val="009E3B6E"/>
    <w:rsid w:val="009E4246"/>
    <w:rsid w:val="009E5576"/>
    <w:rsid w:val="009E5579"/>
    <w:rsid w:val="009E5778"/>
    <w:rsid w:val="009E5FE5"/>
    <w:rsid w:val="009E62A7"/>
    <w:rsid w:val="009E6476"/>
    <w:rsid w:val="009E65DB"/>
    <w:rsid w:val="009E6B68"/>
    <w:rsid w:val="009E77AC"/>
    <w:rsid w:val="009F05F9"/>
    <w:rsid w:val="009F07F2"/>
    <w:rsid w:val="009F0ECE"/>
    <w:rsid w:val="009F1370"/>
    <w:rsid w:val="009F181B"/>
    <w:rsid w:val="009F1CF6"/>
    <w:rsid w:val="009F1E71"/>
    <w:rsid w:val="009F2373"/>
    <w:rsid w:val="009F2405"/>
    <w:rsid w:val="009F2E3C"/>
    <w:rsid w:val="009F32FE"/>
    <w:rsid w:val="009F397F"/>
    <w:rsid w:val="009F435D"/>
    <w:rsid w:val="009F48D3"/>
    <w:rsid w:val="009F4BF0"/>
    <w:rsid w:val="009F549F"/>
    <w:rsid w:val="009F5930"/>
    <w:rsid w:val="009F68C3"/>
    <w:rsid w:val="009F6AFE"/>
    <w:rsid w:val="009F6FAF"/>
    <w:rsid w:val="009F7299"/>
    <w:rsid w:val="009F781D"/>
    <w:rsid w:val="009F782D"/>
    <w:rsid w:val="009F7AA1"/>
    <w:rsid w:val="009F7E8A"/>
    <w:rsid w:val="00A004A7"/>
    <w:rsid w:val="00A0164A"/>
    <w:rsid w:val="00A01B74"/>
    <w:rsid w:val="00A01EEC"/>
    <w:rsid w:val="00A02020"/>
    <w:rsid w:val="00A022E5"/>
    <w:rsid w:val="00A024C2"/>
    <w:rsid w:val="00A02CE1"/>
    <w:rsid w:val="00A03BB4"/>
    <w:rsid w:val="00A04188"/>
    <w:rsid w:val="00A042DD"/>
    <w:rsid w:val="00A04379"/>
    <w:rsid w:val="00A04B28"/>
    <w:rsid w:val="00A04C5C"/>
    <w:rsid w:val="00A05309"/>
    <w:rsid w:val="00A05AAB"/>
    <w:rsid w:val="00A06A0A"/>
    <w:rsid w:val="00A06CC9"/>
    <w:rsid w:val="00A06E02"/>
    <w:rsid w:val="00A06EBF"/>
    <w:rsid w:val="00A07117"/>
    <w:rsid w:val="00A075F7"/>
    <w:rsid w:val="00A0775B"/>
    <w:rsid w:val="00A07DC2"/>
    <w:rsid w:val="00A1005B"/>
    <w:rsid w:val="00A100EE"/>
    <w:rsid w:val="00A101B5"/>
    <w:rsid w:val="00A1061D"/>
    <w:rsid w:val="00A10E9F"/>
    <w:rsid w:val="00A10F98"/>
    <w:rsid w:val="00A10FFD"/>
    <w:rsid w:val="00A1223E"/>
    <w:rsid w:val="00A1298F"/>
    <w:rsid w:val="00A12AD1"/>
    <w:rsid w:val="00A13387"/>
    <w:rsid w:val="00A1341F"/>
    <w:rsid w:val="00A13B5C"/>
    <w:rsid w:val="00A1439A"/>
    <w:rsid w:val="00A15554"/>
    <w:rsid w:val="00A15AC0"/>
    <w:rsid w:val="00A15B48"/>
    <w:rsid w:val="00A16788"/>
    <w:rsid w:val="00A16A31"/>
    <w:rsid w:val="00A174FA"/>
    <w:rsid w:val="00A20771"/>
    <w:rsid w:val="00A2089A"/>
    <w:rsid w:val="00A210A5"/>
    <w:rsid w:val="00A210F0"/>
    <w:rsid w:val="00A216E7"/>
    <w:rsid w:val="00A21791"/>
    <w:rsid w:val="00A21C93"/>
    <w:rsid w:val="00A2231A"/>
    <w:rsid w:val="00A224D1"/>
    <w:rsid w:val="00A225F7"/>
    <w:rsid w:val="00A231D8"/>
    <w:rsid w:val="00A234E0"/>
    <w:rsid w:val="00A2394B"/>
    <w:rsid w:val="00A239BD"/>
    <w:rsid w:val="00A23A1B"/>
    <w:rsid w:val="00A23F6A"/>
    <w:rsid w:val="00A24290"/>
    <w:rsid w:val="00A245A8"/>
    <w:rsid w:val="00A24E74"/>
    <w:rsid w:val="00A24F4D"/>
    <w:rsid w:val="00A2550B"/>
    <w:rsid w:val="00A26290"/>
    <w:rsid w:val="00A26641"/>
    <w:rsid w:val="00A26CA3"/>
    <w:rsid w:val="00A26F85"/>
    <w:rsid w:val="00A270C3"/>
    <w:rsid w:val="00A27AED"/>
    <w:rsid w:val="00A30AB6"/>
    <w:rsid w:val="00A30E69"/>
    <w:rsid w:val="00A3144F"/>
    <w:rsid w:val="00A31568"/>
    <w:rsid w:val="00A315F6"/>
    <w:rsid w:val="00A31BE3"/>
    <w:rsid w:val="00A32BE7"/>
    <w:rsid w:val="00A32FE2"/>
    <w:rsid w:val="00A3361A"/>
    <w:rsid w:val="00A33D48"/>
    <w:rsid w:val="00A33DA4"/>
    <w:rsid w:val="00A34397"/>
    <w:rsid w:val="00A3445C"/>
    <w:rsid w:val="00A34682"/>
    <w:rsid w:val="00A34D4F"/>
    <w:rsid w:val="00A35526"/>
    <w:rsid w:val="00A37D77"/>
    <w:rsid w:val="00A405C0"/>
    <w:rsid w:val="00A40D26"/>
    <w:rsid w:val="00A416EE"/>
    <w:rsid w:val="00A4219C"/>
    <w:rsid w:val="00A426C7"/>
    <w:rsid w:val="00A43C0F"/>
    <w:rsid w:val="00A44615"/>
    <w:rsid w:val="00A45269"/>
    <w:rsid w:val="00A452F9"/>
    <w:rsid w:val="00A455CF"/>
    <w:rsid w:val="00A45671"/>
    <w:rsid w:val="00A45A0D"/>
    <w:rsid w:val="00A45D1F"/>
    <w:rsid w:val="00A47379"/>
    <w:rsid w:val="00A47CDF"/>
    <w:rsid w:val="00A502B1"/>
    <w:rsid w:val="00A50E29"/>
    <w:rsid w:val="00A51245"/>
    <w:rsid w:val="00A52A04"/>
    <w:rsid w:val="00A53494"/>
    <w:rsid w:val="00A544A8"/>
    <w:rsid w:val="00A54B49"/>
    <w:rsid w:val="00A5541F"/>
    <w:rsid w:val="00A55E36"/>
    <w:rsid w:val="00A5705A"/>
    <w:rsid w:val="00A57EDE"/>
    <w:rsid w:val="00A6033F"/>
    <w:rsid w:val="00A607BD"/>
    <w:rsid w:val="00A61286"/>
    <w:rsid w:val="00A6164D"/>
    <w:rsid w:val="00A6173C"/>
    <w:rsid w:val="00A61912"/>
    <w:rsid w:val="00A61BBD"/>
    <w:rsid w:val="00A62348"/>
    <w:rsid w:val="00A6340A"/>
    <w:rsid w:val="00A63429"/>
    <w:rsid w:val="00A6385F"/>
    <w:rsid w:val="00A6505B"/>
    <w:rsid w:val="00A6556D"/>
    <w:rsid w:val="00A6558A"/>
    <w:rsid w:val="00A6587A"/>
    <w:rsid w:val="00A67006"/>
    <w:rsid w:val="00A67416"/>
    <w:rsid w:val="00A675D6"/>
    <w:rsid w:val="00A67848"/>
    <w:rsid w:val="00A70090"/>
    <w:rsid w:val="00A70889"/>
    <w:rsid w:val="00A71BB5"/>
    <w:rsid w:val="00A720BD"/>
    <w:rsid w:val="00A7214D"/>
    <w:rsid w:val="00A72B8D"/>
    <w:rsid w:val="00A73058"/>
    <w:rsid w:val="00A736FA"/>
    <w:rsid w:val="00A73DAA"/>
    <w:rsid w:val="00A74B7D"/>
    <w:rsid w:val="00A74D0D"/>
    <w:rsid w:val="00A74D32"/>
    <w:rsid w:val="00A74DBB"/>
    <w:rsid w:val="00A75355"/>
    <w:rsid w:val="00A7653C"/>
    <w:rsid w:val="00A77022"/>
    <w:rsid w:val="00A77270"/>
    <w:rsid w:val="00A775C2"/>
    <w:rsid w:val="00A77BB5"/>
    <w:rsid w:val="00A77E43"/>
    <w:rsid w:val="00A80494"/>
    <w:rsid w:val="00A81541"/>
    <w:rsid w:val="00A82235"/>
    <w:rsid w:val="00A82296"/>
    <w:rsid w:val="00A8260F"/>
    <w:rsid w:val="00A836A8"/>
    <w:rsid w:val="00A842AE"/>
    <w:rsid w:val="00A84AF9"/>
    <w:rsid w:val="00A8535D"/>
    <w:rsid w:val="00A856EA"/>
    <w:rsid w:val="00A8587A"/>
    <w:rsid w:val="00A85B2C"/>
    <w:rsid w:val="00A8609D"/>
    <w:rsid w:val="00A86169"/>
    <w:rsid w:val="00A86E30"/>
    <w:rsid w:val="00A86EF1"/>
    <w:rsid w:val="00A86F9D"/>
    <w:rsid w:val="00A87489"/>
    <w:rsid w:val="00A87BC0"/>
    <w:rsid w:val="00A902CC"/>
    <w:rsid w:val="00A9147F"/>
    <w:rsid w:val="00A91CA4"/>
    <w:rsid w:val="00A91DF4"/>
    <w:rsid w:val="00A92872"/>
    <w:rsid w:val="00A92B90"/>
    <w:rsid w:val="00A930F7"/>
    <w:rsid w:val="00A93156"/>
    <w:rsid w:val="00A93525"/>
    <w:rsid w:val="00A93E4A"/>
    <w:rsid w:val="00A93FC3"/>
    <w:rsid w:val="00A940A1"/>
    <w:rsid w:val="00A94DA1"/>
    <w:rsid w:val="00A94EFF"/>
    <w:rsid w:val="00A9581E"/>
    <w:rsid w:val="00A95F2E"/>
    <w:rsid w:val="00A961DB"/>
    <w:rsid w:val="00A9633E"/>
    <w:rsid w:val="00A9641A"/>
    <w:rsid w:val="00A966CA"/>
    <w:rsid w:val="00A966DC"/>
    <w:rsid w:val="00A96AA3"/>
    <w:rsid w:val="00A976D6"/>
    <w:rsid w:val="00A97E1A"/>
    <w:rsid w:val="00A97F76"/>
    <w:rsid w:val="00AA03B4"/>
    <w:rsid w:val="00AA0685"/>
    <w:rsid w:val="00AA0AC1"/>
    <w:rsid w:val="00AA0FA6"/>
    <w:rsid w:val="00AA1692"/>
    <w:rsid w:val="00AA1727"/>
    <w:rsid w:val="00AA17D5"/>
    <w:rsid w:val="00AA2272"/>
    <w:rsid w:val="00AA2565"/>
    <w:rsid w:val="00AA2D00"/>
    <w:rsid w:val="00AA3DBA"/>
    <w:rsid w:val="00AA3F07"/>
    <w:rsid w:val="00AA448F"/>
    <w:rsid w:val="00AA4582"/>
    <w:rsid w:val="00AA4DB3"/>
    <w:rsid w:val="00AA53E1"/>
    <w:rsid w:val="00AA5639"/>
    <w:rsid w:val="00AA598E"/>
    <w:rsid w:val="00AA5D7B"/>
    <w:rsid w:val="00AA6015"/>
    <w:rsid w:val="00AA676B"/>
    <w:rsid w:val="00AA72E0"/>
    <w:rsid w:val="00AA763D"/>
    <w:rsid w:val="00AA78D3"/>
    <w:rsid w:val="00AB04A1"/>
    <w:rsid w:val="00AB0BD5"/>
    <w:rsid w:val="00AB0C48"/>
    <w:rsid w:val="00AB108A"/>
    <w:rsid w:val="00AB110E"/>
    <w:rsid w:val="00AB1342"/>
    <w:rsid w:val="00AB15F2"/>
    <w:rsid w:val="00AB2038"/>
    <w:rsid w:val="00AB2064"/>
    <w:rsid w:val="00AB23F9"/>
    <w:rsid w:val="00AB3055"/>
    <w:rsid w:val="00AB3742"/>
    <w:rsid w:val="00AB3D44"/>
    <w:rsid w:val="00AB5019"/>
    <w:rsid w:val="00AB5E21"/>
    <w:rsid w:val="00AB6426"/>
    <w:rsid w:val="00AB7244"/>
    <w:rsid w:val="00AB78DD"/>
    <w:rsid w:val="00AB7959"/>
    <w:rsid w:val="00AC06C2"/>
    <w:rsid w:val="00AC07E1"/>
    <w:rsid w:val="00AC1272"/>
    <w:rsid w:val="00AC1332"/>
    <w:rsid w:val="00AC2D8E"/>
    <w:rsid w:val="00AC3054"/>
    <w:rsid w:val="00AC380F"/>
    <w:rsid w:val="00AC43A6"/>
    <w:rsid w:val="00AC4584"/>
    <w:rsid w:val="00AC4DFB"/>
    <w:rsid w:val="00AC5406"/>
    <w:rsid w:val="00AC5614"/>
    <w:rsid w:val="00AC56C0"/>
    <w:rsid w:val="00AC588C"/>
    <w:rsid w:val="00AC5940"/>
    <w:rsid w:val="00AC621B"/>
    <w:rsid w:val="00AC6230"/>
    <w:rsid w:val="00AC7011"/>
    <w:rsid w:val="00AC77A3"/>
    <w:rsid w:val="00AC78CD"/>
    <w:rsid w:val="00AC7A71"/>
    <w:rsid w:val="00AC7D9E"/>
    <w:rsid w:val="00AC7E9E"/>
    <w:rsid w:val="00AC7F9F"/>
    <w:rsid w:val="00AD0C87"/>
    <w:rsid w:val="00AD0D5B"/>
    <w:rsid w:val="00AD1A01"/>
    <w:rsid w:val="00AD1A3E"/>
    <w:rsid w:val="00AD2557"/>
    <w:rsid w:val="00AD283E"/>
    <w:rsid w:val="00AD28F6"/>
    <w:rsid w:val="00AD2AE1"/>
    <w:rsid w:val="00AD3B3E"/>
    <w:rsid w:val="00AD3D62"/>
    <w:rsid w:val="00AD4FE8"/>
    <w:rsid w:val="00AD531C"/>
    <w:rsid w:val="00AD5974"/>
    <w:rsid w:val="00AD5D57"/>
    <w:rsid w:val="00AD5E64"/>
    <w:rsid w:val="00AD60E4"/>
    <w:rsid w:val="00AD611A"/>
    <w:rsid w:val="00AD676D"/>
    <w:rsid w:val="00AD69E0"/>
    <w:rsid w:val="00AD6BF6"/>
    <w:rsid w:val="00AD7272"/>
    <w:rsid w:val="00AE0DAF"/>
    <w:rsid w:val="00AE2338"/>
    <w:rsid w:val="00AE3174"/>
    <w:rsid w:val="00AE335B"/>
    <w:rsid w:val="00AE3689"/>
    <w:rsid w:val="00AE371D"/>
    <w:rsid w:val="00AE421D"/>
    <w:rsid w:val="00AE496F"/>
    <w:rsid w:val="00AE4BEA"/>
    <w:rsid w:val="00AE4E9E"/>
    <w:rsid w:val="00AE5007"/>
    <w:rsid w:val="00AE50C7"/>
    <w:rsid w:val="00AE5813"/>
    <w:rsid w:val="00AE5DA3"/>
    <w:rsid w:val="00AE6A22"/>
    <w:rsid w:val="00AE70AC"/>
    <w:rsid w:val="00AE74CB"/>
    <w:rsid w:val="00AE79A6"/>
    <w:rsid w:val="00AF0C34"/>
    <w:rsid w:val="00AF1260"/>
    <w:rsid w:val="00AF129A"/>
    <w:rsid w:val="00AF1726"/>
    <w:rsid w:val="00AF1E5E"/>
    <w:rsid w:val="00AF2F3B"/>
    <w:rsid w:val="00AF4617"/>
    <w:rsid w:val="00AF466F"/>
    <w:rsid w:val="00AF4A54"/>
    <w:rsid w:val="00AF4E2F"/>
    <w:rsid w:val="00AF4F87"/>
    <w:rsid w:val="00AF51DA"/>
    <w:rsid w:val="00AF5D0A"/>
    <w:rsid w:val="00AF6887"/>
    <w:rsid w:val="00AF6896"/>
    <w:rsid w:val="00AF6C83"/>
    <w:rsid w:val="00AF76C5"/>
    <w:rsid w:val="00AF7911"/>
    <w:rsid w:val="00AF7DF7"/>
    <w:rsid w:val="00B004F3"/>
    <w:rsid w:val="00B00B30"/>
    <w:rsid w:val="00B01652"/>
    <w:rsid w:val="00B017B8"/>
    <w:rsid w:val="00B01AC5"/>
    <w:rsid w:val="00B01F0A"/>
    <w:rsid w:val="00B01F92"/>
    <w:rsid w:val="00B02388"/>
    <w:rsid w:val="00B0297F"/>
    <w:rsid w:val="00B03163"/>
    <w:rsid w:val="00B03396"/>
    <w:rsid w:val="00B034E2"/>
    <w:rsid w:val="00B03BCA"/>
    <w:rsid w:val="00B040A9"/>
    <w:rsid w:val="00B042B5"/>
    <w:rsid w:val="00B0499C"/>
    <w:rsid w:val="00B04C42"/>
    <w:rsid w:val="00B056C8"/>
    <w:rsid w:val="00B057B2"/>
    <w:rsid w:val="00B05AEB"/>
    <w:rsid w:val="00B05D67"/>
    <w:rsid w:val="00B05E16"/>
    <w:rsid w:val="00B06933"/>
    <w:rsid w:val="00B06945"/>
    <w:rsid w:val="00B06988"/>
    <w:rsid w:val="00B06CD7"/>
    <w:rsid w:val="00B06E2F"/>
    <w:rsid w:val="00B07292"/>
    <w:rsid w:val="00B078B5"/>
    <w:rsid w:val="00B10D99"/>
    <w:rsid w:val="00B10EC0"/>
    <w:rsid w:val="00B10EEC"/>
    <w:rsid w:val="00B10F55"/>
    <w:rsid w:val="00B115A4"/>
    <w:rsid w:val="00B11BA2"/>
    <w:rsid w:val="00B127FD"/>
    <w:rsid w:val="00B12A30"/>
    <w:rsid w:val="00B135E6"/>
    <w:rsid w:val="00B13B5E"/>
    <w:rsid w:val="00B13B88"/>
    <w:rsid w:val="00B13CE7"/>
    <w:rsid w:val="00B13DFE"/>
    <w:rsid w:val="00B141A5"/>
    <w:rsid w:val="00B14356"/>
    <w:rsid w:val="00B14872"/>
    <w:rsid w:val="00B14B34"/>
    <w:rsid w:val="00B14D0E"/>
    <w:rsid w:val="00B14D98"/>
    <w:rsid w:val="00B14EBC"/>
    <w:rsid w:val="00B15335"/>
    <w:rsid w:val="00B153AD"/>
    <w:rsid w:val="00B154C9"/>
    <w:rsid w:val="00B15A17"/>
    <w:rsid w:val="00B15A46"/>
    <w:rsid w:val="00B16AFE"/>
    <w:rsid w:val="00B16EFD"/>
    <w:rsid w:val="00B1726A"/>
    <w:rsid w:val="00B2012F"/>
    <w:rsid w:val="00B20317"/>
    <w:rsid w:val="00B2058F"/>
    <w:rsid w:val="00B207F8"/>
    <w:rsid w:val="00B20AEC"/>
    <w:rsid w:val="00B21148"/>
    <w:rsid w:val="00B21A8C"/>
    <w:rsid w:val="00B21AF2"/>
    <w:rsid w:val="00B2277D"/>
    <w:rsid w:val="00B22939"/>
    <w:rsid w:val="00B22BBB"/>
    <w:rsid w:val="00B23B77"/>
    <w:rsid w:val="00B23BB6"/>
    <w:rsid w:val="00B2403C"/>
    <w:rsid w:val="00B244C1"/>
    <w:rsid w:val="00B24651"/>
    <w:rsid w:val="00B2480F"/>
    <w:rsid w:val="00B25A04"/>
    <w:rsid w:val="00B25B54"/>
    <w:rsid w:val="00B25FBF"/>
    <w:rsid w:val="00B26362"/>
    <w:rsid w:val="00B26589"/>
    <w:rsid w:val="00B2663D"/>
    <w:rsid w:val="00B26CA5"/>
    <w:rsid w:val="00B26FAE"/>
    <w:rsid w:val="00B273EC"/>
    <w:rsid w:val="00B27DB1"/>
    <w:rsid w:val="00B3138D"/>
    <w:rsid w:val="00B31857"/>
    <w:rsid w:val="00B31F45"/>
    <w:rsid w:val="00B32200"/>
    <w:rsid w:val="00B3232C"/>
    <w:rsid w:val="00B3250F"/>
    <w:rsid w:val="00B32A09"/>
    <w:rsid w:val="00B32AEC"/>
    <w:rsid w:val="00B32E36"/>
    <w:rsid w:val="00B32FCE"/>
    <w:rsid w:val="00B345CB"/>
    <w:rsid w:val="00B34B98"/>
    <w:rsid w:val="00B34DA8"/>
    <w:rsid w:val="00B35999"/>
    <w:rsid w:val="00B3664E"/>
    <w:rsid w:val="00B36928"/>
    <w:rsid w:val="00B36C23"/>
    <w:rsid w:val="00B37A4B"/>
    <w:rsid w:val="00B403C4"/>
    <w:rsid w:val="00B4042D"/>
    <w:rsid w:val="00B40727"/>
    <w:rsid w:val="00B4089A"/>
    <w:rsid w:val="00B414A3"/>
    <w:rsid w:val="00B41F6D"/>
    <w:rsid w:val="00B4221F"/>
    <w:rsid w:val="00B4231C"/>
    <w:rsid w:val="00B4320F"/>
    <w:rsid w:val="00B43AB7"/>
    <w:rsid w:val="00B43C0A"/>
    <w:rsid w:val="00B43C3E"/>
    <w:rsid w:val="00B45430"/>
    <w:rsid w:val="00B454CF"/>
    <w:rsid w:val="00B45EF5"/>
    <w:rsid w:val="00B461CD"/>
    <w:rsid w:val="00B46517"/>
    <w:rsid w:val="00B46BF2"/>
    <w:rsid w:val="00B47723"/>
    <w:rsid w:val="00B47DA3"/>
    <w:rsid w:val="00B47DD5"/>
    <w:rsid w:val="00B501BE"/>
    <w:rsid w:val="00B50737"/>
    <w:rsid w:val="00B512B5"/>
    <w:rsid w:val="00B513F0"/>
    <w:rsid w:val="00B51DA2"/>
    <w:rsid w:val="00B51EF1"/>
    <w:rsid w:val="00B52673"/>
    <w:rsid w:val="00B5297F"/>
    <w:rsid w:val="00B52B3A"/>
    <w:rsid w:val="00B52FB2"/>
    <w:rsid w:val="00B533CC"/>
    <w:rsid w:val="00B53621"/>
    <w:rsid w:val="00B53898"/>
    <w:rsid w:val="00B53B79"/>
    <w:rsid w:val="00B53E08"/>
    <w:rsid w:val="00B53F48"/>
    <w:rsid w:val="00B543D7"/>
    <w:rsid w:val="00B548EE"/>
    <w:rsid w:val="00B54B1D"/>
    <w:rsid w:val="00B54FDE"/>
    <w:rsid w:val="00B566DA"/>
    <w:rsid w:val="00B60291"/>
    <w:rsid w:val="00B60400"/>
    <w:rsid w:val="00B60820"/>
    <w:rsid w:val="00B60E48"/>
    <w:rsid w:val="00B60F82"/>
    <w:rsid w:val="00B6124C"/>
    <w:rsid w:val="00B61E07"/>
    <w:rsid w:val="00B62409"/>
    <w:rsid w:val="00B624A0"/>
    <w:rsid w:val="00B62B06"/>
    <w:rsid w:val="00B62E5F"/>
    <w:rsid w:val="00B63294"/>
    <w:rsid w:val="00B63813"/>
    <w:rsid w:val="00B63E9B"/>
    <w:rsid w:val="00B63EB4"/>
    <w:rsid w:val="00B6472B"/>
    <w:rsid w:val="00B64870"/>
    <w:rsid w:val="00B6541A"/>
    <w:rsid w:val="00B661DD"/>
    <w:rsid w:val="00B66C4A"/>
    <w:rsid w:val="00B67319"/>
    <w:rsid w:val="00B6731E"/>
    <w:rsid w:val="00B67703"/>
    <w:rsid w:val="00B67D09"/>
    <w:rsid w:val="00B67F23"/>
    <w:rsid w:val="00B700B7"/>
    <w:rsid w:val="00B706E0"/>
    <w:rsid w:val="00B706E1"/>
    <w:rsid w:val="00B70790"/>
    <w:rsid w:val="00B70F86"/>
    <w:rsid w:val="00B715DE"/>
    <w:rsid w:val="00B716F1"/>
    <w:rsid w:val="00B71817"/>
    <w:rsid w:val="00B71C2C"/>
    <w:rsid w:val="00B72237"/>
    <w:rsid w:val="00B72BE7"/>
    <w:rsid w:val="00B72D80"/>
    <w:rsid w:val="00B730F1"/>
    <w:rsid w:val="00B73609"/>
    <w:rsid w:val="00B737BD"/>
    <w:rsid w:val="00B73C0B"/>
    <w:rsid w:val="00B73F75"/>
    <w:rsid w:val="00B7402A"/>
    <w:rsid w:val="00B74514"/>
    <w:rsid w:val="00B7463A"/>
    <w:rsid w:val="00B74874"/>
    <w:rsid w:val="00B74ACE"/>
    <w:rsid w:val="00B757E2"/>
    <w:rsid w:val="00B758FD"/>
    <w:rsid w:val="00B75CF5"/>
    <w:rsid w:val="00B76692"/>
    <w:rsid w:val="00B76D07"/>
    <w:rsid w:val="00B77F98"/>
    <w:rsid w:val="00B80391"/>
    <w:rsid w:val="00B80720"/>
    <w:rsid w:val="00B80BB4"/>
    <w:rsid w:val="00B80E10"/>
    <w:rsid w:val="00B80F42"/>
    <w:rsid w:val="00B81EFA"/>
    <w:rsid w:val="00B82C02"/>
    <w:rsid w:val="00B82D4A"/>
    <w:rsid w:val="00B83829"/>
    <w:rsid w:val="00B8445C"/>
    <w:rsid w:val="00B848DF"/>
    <w:rsid w:val="00B84EDB"/>
    <w:rsid w:val="00B867C7"/>
    <w:rsid w:val="00B86902"/>
    <w:rsid w:val="00B86C38"/>
    <w:rsid w:val="00B872C2"/>
    <w:rsid w:val="00B87947"/>
    <w:rsid w:val="00B87B0C"/>
    <w:rsid w:val="00B87FE3"/>
    <w:rsid w:val="00B904E5"/>
    <w:rsid w:val="00B90543"/>
    <w:rsid w:val="00B905D8"/>
    <w:rsid w:val="00B9128E"/>
    <w:rsid w:val="00B9195F"/>
    <w:rsid w:val="00B92194"/>
    <w:rsid w:val="00B92292"/>
    <w:rsid w:val="00B9274C"/>
    <w:rsid w:val="00B92790"/>
    <w:rsid w:val="00B92E36"/>
    <w:rsid w:val="00B933F8"/>
    <w:rsid w:val="00B93A63"/>
    <w:rsid w:val="00B942E5"/>
    <w:rsid w:val="00B9461C"/>
    <w:rsid w:val="00B94DB1"/>
    <w:rsid w:val="00B952D9"/>
    <w:rsid w:val="00B95E4E"/>
    <w:rsid w:val="00B95E93"/>
    <w:rsid w:val="00B960F6"/>
    <w:rsid w:val="00B96803"/>
    <w:rsid w:val="00B97399"/>
    <w:rsid w:val="00B974D7"/>
    <w:rsid w:val="00B976F9"/>
    <w:rsid w:val="00B9788A"/>
    <w:rsid w:val="00B978DE"/>
    <w:rsid w:val="00B9795C"/>
    <w:rsid w:val="00B97BEB"/>
    <w:rsid w:val="00BA0184"/>
    <w:rsid w:val="00BA0E67"/>
    <w:rsid w:val="00BA1061"/>
    <w:rsid w:val="00BA13F7"/>
    <w:rsid w:val="00BA181C"/>
    <w:rsid w:val="00BA190B"/>
    <w:rsid w:val="00BA1944"/>
    <w:rsid w:val="00BA2544"/>
    <w:rsid w:val="00BA2AE4"/>
    <w:rsid w:val="00BA3BC8"/>
    <w:rsid w:val="00BA4215"/>
    <w:rsid w:val="00BA4440"/>
    <w:rsid w:val="00BA458F"/>
    <w:rsid w:val="00BA4FA5"/>
    <w:rsid w:val="00BA5099"/>
    <w:rsid w:val="00BA59B8"/>
    <w:rsid w:val="00BA5BFB"/>
    <w:rsid w:val="00BA5E61"/>
    <w:rsid w:val="00BA6086"/>
    <w:rsid w:val="00BA65CD"/>
    <w:rsid w:val="00BA7239"/>
    <w:rsid w:val="00BA7305"/>
    <w:rsid w:val="00BA7391"/>
    <w:rsid w:val="00BA74E5"/>
    <w:rsid w:val="00BA76DD"/>
    <w:rsid w:val="00BA7F55"/>
    <w:rsid w:val="00BB0427"/>
    <w:rsid w:val="00BB0741"/>
    <w:rsid w:val="00BB08EF"/>
    <w:rsid w:val="00BB0DC3"/>
    <w:rsid w:val="00BB0EEE"/>
    <w:rsid w:val="00BB0F04"/>
    <w:rsid w:val="00BB23E1"/>
    <w:rsid w:val="00BB246D"/>
    <w:rsid w:val="00BB27CB"/>
    <w:rsid w:val="00BB2E99"/>
    <w:rsid w:val="00BB37C4"/>
    <w:rsid w:val="00BB398A"/>
    <w:rsid w:val="00BB3C86"/>
    <w:rsid w:val="00BB3DFB"/>
    <w:rsid w:val="00BB409A"/>
    <w:rsid w:val="00BB4859"/>
    <w:rsid w:val="00BB49D4"/>
    <w:rsid w:val="00BB4D30"/>
    <w:rsid w:val="00BB5BBC"/>
    <w:rsid w:val="00BB5BFF"/>
    <w:rsid w:val="00BB61DD"/>
    <w:rsid w:val="00BB652E"/>
    <w:rsid w:val="00BB6C10"/>
    <w:rsid w:val="00BB78A7"/>
    <w:rsid w:val="00BB7F13"/>
    <w:rsid w:val="00BC00A3"/>
    <w:rsid w:val="00BC00D5"/>
    <w:rsid w:val="00BC0412"/>
    <w:rsid w:val="00BC0E51"/>
    <w:rsid w:val="00BC15D7"/>
    <w:rsid w:val="00BC1637"/>
    <w:rsid w:val="00BC1777"/>
    <w:rsid w:val="00BC17AD"/>
    <w:rsid w:val="00BC1CD7"/>
    <w:rsid w:val="00BC21BC"/>
    <w:rsid w:val="00BC2EE8"/>
    <w:rsid w:val="00BC30E8"/>
    <w:rsid w:val="00BC36BC"/>
    <w:rsid w:val="00BC3897"/>
    <w:rsid w:val="00BC3B36"/>
    <w:rsid w:val="00BC3E68"/>
    <w:rsid w:val="00BC3FA5"/>
    <w:rsid w:val="00BC41F9"/>
    <w:rsid w:val="00BC42F4"/>
    <w:rsid w:val="00BC5236"/>
    <w:rsid w:val="00BC5390"/>
    <w:rsid w:val="00BC58AE"/>
    <w:rsid w:val="00BC5A68"/>
    <w:rsid w:val="00BC65C5"/>
    <w:rsid w:val="00BC69D9"/>
    <w:rsid w:val="00BC70A8"/>
    <w:rsid w:val="00BC75B0"/>
    <w:rsid w:val="00BC7827"/>
    <w:rsid w:val="00BC7A31"/>
    <w:rsid w:val="00BC7B22"/>
    <w:rsid w:val="00BD1CE3"/>
    <w:rsid w:val="00BD3163"/>
    <w:rsid w:val="00BD32EC"/>
    <w:rsid w:val="00BD361D"/>
    <w:rsid w:val="00BD39EB"/>
    <w:rsid w:val="00BD4041"/>
    <w:rsid w:val="00BD4439"/>
    <w:rsid w:val="00BD4536"/>
    <w:rsid w:val="00BD48BB"/>
    <w:rsid w:val="00BD4B9C"/>
    <w:rsid w:val="00BD4B9F"/>
    <w:rsid w:val="00BD5549"/>
    <w:rsid w:val="00BD64E3"/>
    <w:rsid w:val="00BD73C3"/>
    <w:rsid w:val="00BD7439"/>
    <w:rsid w:val="00BD7506"/>
    <w:rsid w:val="00BD7E73"/>
    <w:rsid w:val="00BD7FD1"/>
    <w:rsid w:val="00BE0027"/>
    <w:rsid w:val="00BE0320"/>
    <w:rsid w:val="00BE09D8"/>
    <w:rsid w:val="00BE0BF8"/>
    <w:rsid w:val="00BE0CC9"/>
    <w:rsid w:val="00BE1970"/>
    <w:rsid w:val="00BE1A6D"/>
    <w:rsid w:val="00BE2730"/>
    <w:rsid w:val="00BE2A69"/>
    <w:rsid w:val="00BE3290"/>
    <w:rsid w:val="00BE38A8"/>
    <w:rsid w:val="00BE393A"/>
    <w:rsid w:val="00BE4508"/>
    <w:rsid w:val="00BE579C"/>
    <w:rsid w:val="00BE5860"/>
    <w:rsid w:val="00BE595D"/>
    <w:rsid w:val="00BE59F0"/>
    <w:rsid w:val="00BE62B5"/>
    <w:rsid w:val="00BE66B4"/>
    <w:rsid w:val="00BE6C00"/>
    <w:rsid w:val="00BE6C59"/>
    <w:rsid w:val="00BE6E48"/>
    <w:rsid w:val="00BE7379"/>
    <w:rsid w:val="00BE7B36"/>
    <w:rsid w:val="00BF07D4"/>
    <w:rsid w:val="00BF0802"/>
    <w:rsid w:val="00BF0D8F"/>
    <w:rsid w:val="00BF1127"/>
    <w:rsid w:val="00BF1D48"/>
    <w:rsid w:val="00BF1E2F"/>
    <w:rsid w:val="00BF2149"/>
    <w:rsid w:val="00BF2609"/>
    <w:rsid w:val="00BF2868"/>
    <w:rsid w:val="00BF2F02"/>
    <w:rsid w:val="00BF3114"/>
    <w:rsid w:val="00BF37A8"/>
    <w:rsid w:val="00BF3DA4"/>
    <w:rsid w:val="00BF4192"/>
    <w:rsid w:val="00BF47A2"/>
    <w:rsid w:val="00BF48A9"/>
    <w:rsid w:val="00BF4995"/>
    <w:rsid w:val="00BF4C44"/>
    <w:rsid w:val="00BF545A"/>
    <w:rsid w:val="00BF6381"/>
    <w:rsid w:val="00BF63DE"/>
    <w:rsid w:val="00BF698A"/>
    <w:rsid w:val="00BF6C17"/>
    <w:rsid w:val="00BF6CF8"/>
    <w:rsid w:val="00BF7E43"/>
    <w:rsid w:val="00C00385"/>
    <w:rsid w:val="00C00967"/>
    <w:rsid w:val="00C00A8B"/>
    <w:rsid w:val="00C00B17"/>
    <w:rsid w:val="00C00CEE"/>
    <w:rsid w:val="00C00DA4"/>
    <w:rsid w:val="00C01BAA"/>
    <w:rsid w:val="00C022E1"/>
    <w:rsid w:val="00C02B1F"/>
    <w:rsid w:val="00C043CE"/>
    <w:rsid w:val="00C0570D"/>
    <w:rsid w:val="00C0592E"/>
    <w:rsid w:val="00C059F9"/>
    <w:rsid w:val="00C05C89"/>
    <w:rsid w:val="00C0638E"/>
    <w:rsid w:val="00C06AFF"/>
    <w:rsid w:val="00C06C50"/>
    <w:rsid w:val="00C07185"/>
    <w:rsid w:val="00C0773C"/>
    <w:rsid w:val="00C077DA"/>
    <w:rsid w:val="00C077EC"/>
    <w:rsid w:val="00C1022E"/>
    <w:rsid w:val="00C106A8"/>
    <w:rsid w:val="00C10A2C"/>
    <w:rsid w:val="00C115BF"/>
    <w:rsid w:val="00C11D84"/>
    <w:rsid w:val="00C123E7"/>
    <w:rsid w:val="00C127F1"/>
    <w:rsid w:val="00C1409E"/>
    <w:rsid w:val="00C141DE"/>
    <w:rsid w:val="00C1461A"/>
    <w:rsid w:val="00C14AA9"/>
    <w:rsid w:val="00C155DC"/>
    <w:rsid w:val="00C1582E"/>
    <w:rsid w:val="00C15E4A"/>
    <w:rsid w:val="00C1637F"/>
    <w:rsid w:val="00C165C8"/>
    <w:rsid w:val="00C16C7F"/>
    <w:rsid w:val="00C17CEC"/>
    <w:rsid w:val="00C20064"/>
    <w:rsid w:val="00C20223"/>
    <w:rsid w:val="00C206CA"/>
    <w:rsid w:val="00C20CF3"/>
    <w:rsid w:val="00C20D10"/>
    <w:rsid w:val="00C21D92"/>
    <w:rsid w:val="00C22938"/>
    <w:rsid w:val="00C2359E"/>
    <w:rsid w:val="00C242CC"/>
    <w:rsid w:val="00C242F1"/>
    <w:rsid w:val="00C24BB9"/>
    <w:rsid w:val="00C24CA5"/>
    <w:rsid w:val="00C264E3"/>
    <w:rsid w:val="00C26639"/>
    <w:rsid w:val="00C275EC"/>
    <w:rsid w:val="00C278F2"/>
    <w:rsid w:val="00C27E3E"/>
    <w:rsid w:val="00C27FA4"/>
    <w:rsid w:val="00C30A02"/>
    <w:rsid w:val="00C3150C"/>
    <w:rsid w:val="00C3194F"/>
    <w:rsid w:val="00C32175"/>
    <w:rsid w:val="00C321C3"/>
    <w:rsid w:val="00C32741"/>
    <w:rsid w:val="00C32DC0"/>
    <w:rsid w:val="00C32FB6"/>
    <w:rsid w:val="00C33B88"/>
    <w:rsid w:val="00C33DAE"/>
    <w:rsid w:val="00C3428D"/>
    <w:rsid w:val="00C34D3A"/>
    <w:rsid w:val="00C35D71"/>
    <w:rsid w:val="00C36099"/>
    <w:rsid w:val="00C36647"/>
    <w:rsid w:val="00C369FC"/>
    <w:rsid w:val="00C376F7"/>
    <w:rsid w:val="00C377F7"/>
    <w:rsid w:val="00C401F7"/>
    <w:rsid w:val="00C40B2F"/>
    <w:rsid w:val="00C413DD"/>
    <w:rsid w:val="00C41AEE"/>
    <w:rsid w:val="00C427F8"/>
    <w:rsid w:val="00C42B2F"/>
    <w:rsid w:val="00C42FFF"/>
    <w:rsid w:val="00C433E3"/>
    <w:rsid w:val="00C43947"/>
    <w:rsid w:val="00C4399A"/>
    <w:rsid w:val="00C43B14"/>
    <w:rsid w:val="00C43D96"/>
    <w:rsid w:val="00C43E71"/>
    <w:rsid w:val="00C449CB"/>
    <w:rsid w:val="00C44E1F"/>
    <w:rsid w:val="00C46DB8"/>
    <w:rsid w:val="00C47219"/>
    <w:rsid w:val="00C5013C"/>
    <w:rsid w:val="00C502C9"/>
    <w:rsid w:val="00C50555"/>
    <w:rsid w:val="00C50ADC"/>
    <w:rsid w:val="00C50C3D"/>
    <w:rsid w:val="00C50F98"/>
    <w:rsid w:val="00C510E1"/>
    <w:rsid w:val="00C51325"/>
    <w:rsid w:val="00C51345"/>
    <w:rsid w:val="00C514BC"/>
    <w:rsid w:val="00C52C4F"/>
    <w:rsid w:val="00C52F70"/>
    <w:rsid w:val="00C546E9"/>
    <w:rsid w:val="00C54884"/>
    <w:rsid w:val="00C54BBF"/>
    <w:rsid w:val="00C55BA7"/>
    <w:rsid w:val="00C55DAC"/>
    <w:rsid w:val="00C55DF6"/>
    <w:rsid w:val="00C560ED"/>
    <w:rsid w:val="00C56449"/>
    <w:rsid w:val="00C5702E"/>
    <w:rsid w:val="00C57118"/>
    <w:rsid w:val="00C57C38"/>
    <w:rsid w:val="00C60BA9"/>
    <w:rsid w:val="00C61167"/>
    <w:rsid w:val="00C61B57"/>
    <w:rsid w:val="00C622A4"/>
    <w:rsid w:val="00C62956"/>
    <w:rsid w:val="00C631EF"/>
    <w:rsid w:val="00C63ACD"/>
    <w:rsid w:val="00C63B58"/>
    <w:rsid w:val="00C63D4F"/>
    <w:rsid w:val="00C63D53"/>
    <w:rsid w:val="00C63E88"/>
    <w:rsid w:val="00C648C8"/>
    <w:rsid w:val="00C64971"/>
    <w:rsid w:val="00C649AA"/>
    <w:rsid w:val="00C64D59"/>
    <w:rsid w:val="00C64E98"/>
    <w:rsid w:val="00C663EE"/>
    <w:rsid w:val="00C66FB1"/>
    <w:rsid w:val="00C67896"/>
    <w:rsid w:val="00C67B97"/>
    <w:rsid w:val="00C701B6"/>
    <w:rsid w:val="00C703A6"/>
    <w:rsid w:val="00C7148C"/>
    <w:rsid w:val="00C71ADC"/>
    <w:rsid w:val="00C72294"/>
    <w:rsid w:val="00C73264"/>
    <w:rsid w:val="00C732FD"/>
    <w:rsid w:val="00C733CB"/>
    <w:rsid w:val="00C736D5"/>
    <w:rsid w:val="00C7380F"/>
    <w:rsid w:val="00C73D84"/>
    <w:rsid w:val="00C740AC"/>
    <w:rsid w:val="00C7449C"/>
    <w:rsid w:val="00C74791"/>
    <w:rsid w:val="00C751FB"/>
    <w:rsid w:val="00C75CF1"/>
    <w:rsid w:val="00C75EB6"/>
    <w:rsid w:val="00C75FF0"/>
    <w:rsid w:val="00C760B4"/>
    <w:rsid w:val="00C7614A"/>
    <w:rsid w:val="00C763A6"/>
    <w:rsid w:val="00C76412"/>
    <w:rsid w:val="00C77043"/>
    <w:rsid w:val="00C7704A"/>
    <w:rsid w:val="00C77B95"/>
    <w:rsid w:val="00C77DA3"/>
    <w:rsid w:val="00C802DF"/>
    <w:rsid w:val="00C80569"/>
    <w:rsid w:val="00C80A9A"/>
    <w:rsid w:val="00C81A0C"/>
    <w:rsid w:val="00C81EA4"/>
    <w:rsid w:val="00C8450D"/>
    <w:rsid w:val="00C850BC"/>
    <w:rsid w:val="00C8532B"/>
    <w:rsid w:val="00C854AE"/>
    <w:rsid w:val="00C85F7E"/>
    <w:rsid w:val="00C86A15"/>
    <w:rsid w:val="00C874E1"/>
    <w:rsid w:val="00C879BA"/>
    <w:rsid w:val="00C87F8C"/>
    <w:rsid w:val="00C90613"/>
    <w:rsid w:val="00C908E3"/>
    <w:rsid w:val="00C90DE1"/>
    <w:rsid w:val="00C90F0B"/>
    <w:rsid w:val="00C90F3F"/>
    <w:rsid w:val="00C91337"/>
    <w:rsid w:val="00C9143B"/>
    <w:rsid w:val="00C91E97"/>
    <w:rsid w:val="00C92242"/>
    <w:rsid w:val="00C92778"/>
    <w:rsid w:val="00C92AD5"/>
    <w:rsid w:val="00C9306C"/>
    <w:rsid w:val="00C9341D"/>
    <w:rsid w:val="00C9369A"/>
    <w:rsid w:val="00C938D6"/>
    <w:rsid w:val="00C940A7"/>
    <w:rsid w:val="00C948D9"/>
    <w:rsid w:val="00C9495A"/>
    <w:rsid w:val="00C95625"/>
    <w:rsid w:val="00C95987"/>
    <w:rsid w:val="00C95E2C"/>
    <w:rsid w:val="00C96020"/>
    <w:rsid w:val="00C96F23"/>
    <w:rsid w:val="00C973E8"/>
    <w:rsid w:val="00C9760C"/>
    <w:rsid w:val="00C977C6"/>
    <w:rsid w:val="00C97AFA"/>
    <w:rsid w:val="00CA0AD3"/>
    <w:rsid w:val="00CA0F65"/>
    <w:rsid w:val="00CA140A"/>
    <w:rsid w:val="00CA19AB"/>
    <w:rsid w:val="00CA1E44"/>
    <w:rsid w:val="00CA24E4"/>
    <w:rsid w:val="00CA2503"/>
    <w:rsid w:val="00CA2619"/>
    <w:rsid w:val="00CA299E"/>
    <w:rsid w:val="00CA2BA2"/>
    <w:rsid w:val="00CA2CF2"/>
    <w:rsid w:val="00CA34B6"/>
    <w:rsid w:val="00CA3D54"/>
    <w:rsid w:val="00CA406A"/>
    <w:rsid w:val="00CA4923"/>
    <w:rsid w:val="00CA4AAA"/>
    <w:rsid w:val="00CA4BBD"/>
    <w:rsid w:val="00CA5128"/>
    <w:rsid w:val="00CA5222"/>
    <w:rsid w:val="00CA5378"/>
    <w:rsid w:val="00CA5B6D"/>
    <w:rsid w:val="00CA5F5A"/>
    <w:rsid w:val="00CA6453"/>
    <w:rsid w:val="00CA73F3"/>
    <w:rsid w:val="00CA759D"/>
    <w:rsid w:val="00CA79F9"/>
    <w:rsid w:val="00CA7CD5"/>
    <w:rsid w:val="00CB0BC8"/>
    <w:rsid w:val="00CB1424"/>
    <w:rsid w:val="00CB3832"/>
    <w:rsid w:val="00CB3D26"/>
    <w:rsid w:val="00CB49E1"/>
    <w:rsid w:val="00CB5471"/>
    <w:rsid w:val="00CB55C8"/>
    <w:rsid w:val="00CB5873"/>
    <w:rsid w:val="00CB65AC"/>
    <w:rsid w:val="00CB65FD"/>
    <w:rsid w:val="00CB6AAD"/>
    <w:rsid w:val="00CB7460"/>
    <w:rsid w:val="00CB78ED"/>
    <w:rsid w:val="00CC0135"/>
    <w:rsid w:val="00CC0327"/>
    <w:rsid w:val="00CC0A90"/>
    <w:rsid w:val="00CC0F8B"/>
    <w:rsid w:val="00CC11BA"/>
    <w:rsid w:val="00CC1655"/>
    <w:rsid w:val="00CC2582"/>
    <w:rsid w:val="00CC262A"/>
    <w:rsid w:val="00CC2873"/>
    <w:rsid w:val="00CC2B4C"/>
    <w:rsid w:val="00CC37FA"/>
    <w:rsid w:val="00CC4104"/>
    <w:rsid w:val="00CC41CA"/>
    <w:rsid w:val="00CC4AD1"/>
    <w:rsid w:val="00CC5269"/>
    <w:rsid w:val="00CC56C2"/>
    <w:rsid w:val="00CC5B00"/>
    <w:rsid w:val="00CC5CAF"/>
    <w:rsid w:val="00CC5CE2"/>
    <w:rsid w:val="00CC61F2"/>
    <w:rsid w:val="00CC6DD3"/>
    <w:rsid w:val="00CC7424"/>
    <w:rsid w:val="00CC7653"/>
    <w:rsid w:val="00CD092E"/>
    <w:rsid w:val="00CD0DC8"/>
    <w:rsid w:val="00CD1733"/>
    <w:rsid w:val="00CD189F"/>
    <w:rsid w:val="00CD1E18"/>
    <w:rsid w:val="00CD210B"/>
    <w:rsid w:val="00CD332D"/>
    <w:rsid w:val="00CD374B"/>
    <w:rsid w:val="00CD38F7"/>
    <w:rsid w:val="00CD49D5"/>
    <w:rsid w:val="00CD4C14"/>
    <w:rsid w:val="00CD50A4"/>
    <w:rsid w:val="00CD5629"/>
    <w:rsid w:val="00CD577D"/>
    <w:rsid w:val="00CD59C8"/>
    <w:rsid w:val="00CD5FE9"/>
    <w:rsid w:val="00CD6449"/>
    <w:rsid w:val="00CD6F66"/>
    <w:rsid w:val="00CD71D5"/>
    <w:rsid w:val="00CD7996"/>
    <w:rsid w:val="00CD79B1"/>
    <w:rsid w:val="00CD7C86"/>
    <w:rsid w:val="00CD7F50"/>
    <w:rsid w:val="00CE0045"/>
    <w:rsid w:val="00CE0A6F"/>
    <w:rsid w:val="00CE2E2A"/>
    <w:rsid w:val="00CE2EB7"/>
    <w:rsid w:val="00CE30E0"/>
    <w:rsid w:val="00CE3659"/>
    <w:rsid w:val="00CE3B77"/>
    <w:rsid w:val="00CE3CBB"/>
    <w:rsid w:val="00CE3F7D"/>
    <w:rsid w:val="00CE40B5"/>
    <w:rsid w:val="00CE415A"/>
    <w:rsid w:val="00CE443D"/>
    <w:rsid w:val="00CE4A68"/>
    <w:rsid w:val="00CE591D"/>
    <w:rsid w:val="00CE6655"/>
    <w:rsid w:val="00CE6C00"/>
    <w:rsid w:val="00CE79C6"/>
    <w:rsid w:val="00CE7FB1"/>
    <w:rsid w:val="00CF0438"/>
    <w:rsid w:val="00CF1932"/>
    <w:rsid w:val="00CF1A19"/>
    <w:rsid w:val="00CF22E3"/>
    <w:rsid w:val="00CF2754"/>
    <w:rsid w:val="00CF2990"/>
    <w:rsid w:val="00CF307B"/>
    <w:rsid w:val="00CF3139"/>
    <w:rsid w:val="00CF3C4D"/>
    <w:rsid w:val="00CF408A"/>
    <w:rsid w:val="00CF42A0"/>
    <w:rsid w:val="00CF493D"/>
    <w:rsid w:val="00CF4AD1"/>
    <w:rsid w:val="00CF4AE4"/>
    <w:rsid w:val="00CF4DF8"/>
    <w:rsid w:val="00CF4E30"/>
    <w:rsid w:val="00CF4F94"/>
    <w:rsid w:val="00CF6126"/>
    <w:rsid w:val="00CF66A4"/>
    <w:rsid w:val="00CF7431"/>
    <w:rsid w:val="00CF7640"/>
    <w:rsid w:val="00CF7D71"/>
    <w:rsid w:val="00CF7EB4"/>
    <w:rsid w:val="00D003B3"/>
    <w:rsid w:val="00D00733"/>
    <w:rsid w:val="00D00C8E"/>
    <w:rsid w:val="00D011BD"/>
    <w:rsid w:val="00D02BED"/>
    <w:rsid w:val="00D02C06"/>
    <w:rsid w:val="00D032C4"/>
    <w:rsid w:val="00D0454E"/>
    <w:rsid w:val="00D04719"/>
    <w:rsid w:val="00D04D58"/>
    <w:rsid w:val="00D04E44"/>
    <w:rsid w:val="00D0513B"/>
    <w:rsid w:val="00D05F4E"/>
    <w:rsid w:val="00D05F8C"/>
    <w:rsid w:val="00D06AD2"/>
    <w:rsid w:val="00D06DA7"/>
    <w:rsid w:val="00D06DAE"/>
    <w:rsid w:val="00D07EF0"/>
    <w:rsid w:val="00D10094"/>
    <w:rsid w:val="00D1023B"/>
    <w:rsid w:val="00D10758"/>
    <w:rsid w:val="00D10C66"/>
    <w:rsid w:val="00D1180C"/>
    <w:rsid w:val="00D11E97"/>
    <w:rsid w:val="00D127E0"/>
    <w:rsid w:val="00D1310F"/>
    <w:rsid w:val="00D13F52"/>
    <w:rsid w:val="00D13FF6"/>
    <w:rsid w:val="00D14097"/>
    <w:rsid w:val="00D1443F"/>
    <w:rsid w:val="00D1450F"/>
    <w:rsid w:val="00D14E9D"/>
    <w:rsid w:val="00D157D1"/>
    <w:rsid w:val="00D15805"/>
    <w:rsid w:val="00D160EA"/>
    <w:rsid w:val="00D16161"/>
    <w:rsid w:val="00D1791D"/>
    <w:rsid w:val="00D2082C"/>
    <w:rsid w:val="00D2157F"/>
    <w:rsid w:val="00D216DE"/>
    <w:rsid w:val="00D217BC"/>
    <w:rsid w:val="00D21A1D"/>
    <w:rsid w:val="00D21AC9"/>
    <w:rsid w:val="00D21FE9"/>
    <w:rsid w:val="00D2255F"/>
    <w:rsid w:val="00D226FA"/>
    <w:rsid w:val="00D22EE2"/>
    <w:rsid w:val="00D23305"/>
    <w:rsid w:val="00D23B78"/>
    <w:rsid w:val="00D23BB4"/>
    <w:rsid w:val="00D2403E"/>
    <w:rsid w:val="00D24282"/>
    <w:rsid w:val="00D24591"/>
    <w:rsid w:val="00D2489A"/>
    <w:rsid w:val="00D24F70"/>
    <w:rsid w:val="00D25538"/>
    <w:rsid w:val="00D256EE"/>
    <w:rsid w:val="00D26B9B"/>
    <w:rsid w:val="00D26D6D"/>
    <w:rsid w:val="00D26E48"/>
    <w:rsid w:val="00D26FB9"/>
    <w:rsid w:val="00D27F1C"/>
    <w:rsid w:val="00D30730"/>
    <w:rsid w:val="00D31840"/>
    <w:rsid w:val="00D31E8F"/>
    <w:rsid w:val="00D31F96"/>
    <w:rsid w:val="00D330A2"/>
    <w:rsid w:val="00D334BA"/>
    <w:rsid w:val="00D3365F"/>
    <w:rsid w:val="00D33AC8"/>
    <w:rsid w:val="00D33BD7"/>
    <w:rsid w:val="00D346AE"/>
    <w:rsid w:val="00D34E25"/>
    <w:rsid w:val="00D34F59"/>
    <w:rsid w:val="00D3643B"/>
    <w:rsid w:val="00D367A5"/>
    <w:rsid w:val="00D36A1D"/>
    <w:rsid w:val="00D370C2"/>
    <w:rsid w:val="00D3753C"/>
    <w:rsid w:val="00D3774D"/>
    <w:rsid w:val="00D37D76"/>
    <w:rsid w:val="00D401CA"/>
    <w:rsid w:val="00D409C6"/>
    <w:rsid w:val="00D40ABA"/>
    <w:rsid w:val="00D415E0"/>
    <w:rsid w:val="00D41686"/>
    <w:rsid w:val="00D417D4"/>
    <w:rsid w:val="00D419C0"/>
    <w:rsid w:val="00D41C13"/>
    <w:rsid w:val="00D422E8"/>
    <w:rsid w:val="00D429F4"/>
    <w:rsid w:val="00D42D57"/>
    <w:rsid w:val="00D4322E"/>
    <w:rsid w:val="00D434BC"/>
    <w:rsid w:val="00D436D1"/>
    <w:rsid w:val="00D43CE2"/>
    <w:rsid w:val="00D43D32"/>
    <w:rsid w:val="00D4406C"/>
    <w:rsid w:val="00D445AE"/>
    <w:rsid w:val="00D44A22"/>
    <w:rsid w:val="00D44B87"/>
    <w:rsid w:val="00D455AF"/>
    <w:rsid w:val="00D45E6E"/>
    <w:rsid w:val="00D45F5C"/>
    <w:rsid w:val="00D45FD5"/>
    <w:rsid w:val="00D46550"/>
    <w:rsid w:val="00D46939"/>
    <w:rsid w:val="00D46EC2"/>
    <w:rsid w:val="00D47556"/>
    <w:rsid w:val="00D47A4F"/>
    <w:rsid w:val="00D503D2"/>
    <w:rsid w:val="00D5059E"/>
    <w:rsid w:val="00D50B4D"/>
    <w:rsid w:val="00D5116E"/>
    <w:rsid w:val="00D515D7"/>
    <w:rsid w:val="00D51712"/>
    <w:rsid w:val="00D51869"/>
    <w:rsid w:val="00D51AC2"/>
    <w:rsid w:val="00D524C7"/>
    <w:rsid w:val="00D53223"/>
    <w:rsid w:val="00D535AB"/>
    <w:rsid w:val="00D53809"/>
    <w:rsid w:val="00D539F3"/>
    <w:rsid w:val="00D53F5B"/>
    <w:rsid w:val="00D543CC"/>
    <w:rsid w:val="00D5527B"/>
    <w:rsid w:val="00D552AA"/>
    <w:rsid w:val="00D5566D"/>
    <w:rsid w:val="00D55CCA"/>
    <w:rsid w:val="00D55E82"/>
    <w:rsid w:val="00D568D5"/>
    <w:rsid w:val="00D56E1D"/>
    <w:rsid w:val="00D575F9"/>
    <w:rsid w:val="00D57656"/>
    <w:rsid w:val="00D57ACB"/>
    <w:rsid w:val="00D57C70"/>
    <w:rsid w:val="00D60329"/>
    <w:rsid w:val="00D6052B"/>
    <w:rsid w:val="00D60A06"/>
    <w:rsid w:val="00D6160C"/>
    <w:rsid w:val="00D61979"/>
    <w:rsid w:val="00D61A60"/>
    <w:rsid w:val="00D61A83"/>
    <w:rsid w:val="00D638B5"/>
    <w:rsid w:val="00D63FA7"/>
    <w:rsid w:val="00D6407A"/>
    <w:rsid w:val="00D64A5C"/>
    <w:rsid w:val="00D64AEB"/>
    <w:rsid w:val="00D651EC"/>
    <w:rsid w:val="00D65A89"/>
    <w:rsid w:val="00D65DFB"/>
    <w:rsid w:val="00D66634"/>
    <w:rsid w:val="00D66978"/>
    <w:rsid w:val="00D669DA"/>
    <w:rsid w:val="00D66B25"/>
    <w:rsid w:val="00D66FE4"/>
    <w:rsid w:val="00D67D56"/>
    <w:rsid w:val="00D70BB1"/>
    <w:rsid w:val="00D70C54"/>
    <w:rsid w:val="00D71F43"/>
    <w:rsid w:val="00D72447"/>
    <w:rsid w:val="00D72C9F"/>
    <w:rsid w:val="00D72F9A"/>
    <w:rsid w:val="00D730E3"/>
    <w:rsid w:val="00D7317E"/>
    <w:rsid w:val="00D733B6"/>
    <w:rsid w:val="00D748A4"/>
    <w:rsid w:val="00D748FA"/>
    <w:rsid w:val="00D755E1"/>
    <w:rsid w:val="00D75C83"/>
    <w:rsid w:val="00D75D95"/>
    <w:rsid w:val="00D7721F"/>
    <w:rsid w:val="00D773CC"/>
    <w:rsid w:val="00D7756B"/>
    <w:rsid w:val="00D77AFD"/>
    <w:rsid w:val="00D80B7C"/>
    <w:rsid w:val="00D80D14"/>
    <w:rsid w:val="00D812E9"/>
    <w:rsid w:val="00D81556"/>
    <w:rsid w:val="00D8162D"/>
    <w:rsid w:val="00D81EC7"/>
    <w:rsid w:val="00D82B80"/>
    <w:rsid w:val="00D82FC8"/>
    <w:rsid w:val="00D83019"/>
    <w:rsid w:val="00D838D7"/>
    <w:rsid w:val="00D83D56"/>
    <w:rsid w:val="00D8434F"/>
    <w:rsid w:val="00D84981"/>
    <w:rsid w:val="00D8499A"/>
    <w:rsid w:val="00D84AD6"/>
    <w:rsid w:val="00D85330"/>
    <w:rsid w:val="00D85368"/>
    <w:rsid w:val="00D85817"/>
    <w:rsid w:val="00D858E0"/>
    <w:rsid w:val="00D85A99"/>
    <w:rsid w:val="00D85E89"/>
    <w:rsid w:val="00D867CC"/>
    <w:rsid w:val="00D86978"/>
    <w:rsid w:val="00D87247"/>
    <w:rsid w:val="00D87EB3"/>
    <w:rsid w:val="00D90211"/>
    <w:rsid w:val="00D90BB8"/>
    <w:rsid w:val="00D91183"/>
    <w:rsid w:val="00D911FD"/>
    <w:rsid w:val="00D91268"/>
    <w:rsid w:val="00D92664"/>
    <w:rsid w:val="00D93254"/>
    <w:rsid w:val="00D94165"/>
    <w:rsid w:val="00D94E30"/>
    <w:rsid w:val="00D95DAD"/>
    <w:rsid w:val="00D95EF6"/>
    <w:rsid w:val="00D96087"/>
    <w:rsid w:val="00D96CAB"/>
    <w:rsid w:val="00D973F5"/>
    <w:rsid w:val="00D979BB"/>
    <w:rsid w:val="00DA0568"/>
    <w:rsid w:val="00DA0EEA"/>
    <w:rsid w:val="00DA22FA"/>
    <w:rsid w:val="00DA36E1"/>
    <w:rsid w:val="00DA3B71"/>
    <w:rsid w:val="00DA3C14"/>
    <w:rsid w:val="00DA402B"/>
    <w:rsid w:val="00DA4EEF"/>
    <w:rsid w:val="00DA5023"/>
    <w:rsid w:val="00DA5ED2"/>
    <w:rsid w:val="00DA5FB0"/>
    <w:rsid w:val="00DA65C1"/>
    <w:rsid w:val="00DA6683"/>
    <w:rsid w:val="00DA6E9B"/>
    <w:rsid w:val="00DA72DE"/>
    <w:rsid w:val="00DA7FE7"/>
    <w:rsid w:val="00DB0887"/>
    <w:rsid w:val="00DB0C4D"/>
    <w:rsid w:val="00DB11EC"/>
    <w:rsid w:val="00DB1F2B"/>
    <w:rsid w:val="00DB2064"/>
    <w:rsid w:val="00DB20B7"/>
    <w:rsid w:val="00DB2453"/>
    <w:rsid w:val="00DB264B"/>
    <w:rsid w:val="00DB2858"/>
    <w:rsid w:val="00DB2A26"/>
    <w:rsid w:val="00DB31B8"/>
    <w:rsid w:val="00DB3740"/>
    <w:rsid w:val="00DB3BB8"/>
    <w:rsid w:val="00DB3FE9"/>
    <w:rsid w:val="00DB497A"/>
    <w:rsid w:val="00DB4C10"/>
    <w:rsid w:val="00DB4E94"/>
    <w:rsid w:val="00DB5D14"/>
    <w:rsid w:val="00DB6BAF"/>
    <w:rsid w:val="00DB6D07"/>
    <w:rsid w:val="00DB72E3"/>
    <w:rsid w:val="00DB73E1"/>
    <w:rsid w:val="00DB7701"/>
    <w:rsid w:val="00DB79D0"/>
    <w:rsid w:val="00DB7D48"/>
    <w:rsid w:val="00DC038B"/>
    <w:rsid w:val="00DC0DD3"/>
    <w:rsid w:val="00DC0DE9"/>
    <w:rsid w:val="00DC14F3"/>
    <w:rsid w:val="00DC17E8"/>
    <w:rsid w:val="00DC19F8"/>
    <w:rsid w:val="00DC2220"/>
    <w:rsid w:val="00DC2614"/>
    <w:rsid w:val="00DC2BE8"/>
    <w:rsid w:val="00DC2C83"/>
    <w:rsid w:val="00DC33C9"/>
    <w:rsid w:val="00DC34E4"/>
    <w:rsid w:val="00DC3BE7"/>
    <w:rsid w:val="00DC3FFF"/>
    <w:rsid w:val="00DC42FF"/>
    <w:rsid w:val="00DC5773"/>
    <w:rsid w:val="00DC5D5A"/>
    <w:rsid w:val="00DC5DD5"/>
    <w:rsid w:val="00DC6C71"/>
    <w:rsid w:val="00DC6D98"/>
    <w:rsid w:val="00DC6F9F"/>
    <w:rsid w:val="00DC7720"/>
    <w:rsid w:val="00DC7FF3"/>
    <w:rsid w:val="00DD0861"/>
    <w:rsid w:val="00DD10BE"/>
    <w:rsid w:val="00DD139A"/>
    <w:rsid w:val="00DD1519"/>
    <w:rsid w:val="00DD179C"/>
    <w:rsid w:val="00DD17D5"/>
    <w:rsid w:val="00DD1A64"/>
    <w:rsid w:val="00DD203D"/>
    <w:rsid w:val="00DD2129"/>
    <w:rsid w:val="00DD22B8"/>
    <w:rsid w:val="00DD22D2"/>
    <w:rsid w:val="00DD2542"/>
    <w:rsid w:val="00DD2C2F"/>
    <w:rsid w:val="00DD37C7"/>
    <w:rsid w:val="00DD3943"/>
    <w:rsid w:val="00DD3E35"/>
    <w:rsid w:val="00DD40AE"/>
    <w:rsid w:val="00DD4898"/>
    <w:rsid w:val="00DD5015"/>
    <w:rsid w:val="00DD53FB"/>
    <w:rsid w:val="00DD556B"/>
    <w:rsid w:val="00DD57C3"/>
    <w:rsid w:val="00DD5B16"/>
    <w:rsid w:val="00DD69A4"/>
    <w:rsid w:val="00DD6A4F"/>
    <w:rsid w:val="00DD6A6D"/>
    <w:rsid w:val="00DD6AAC"/>
    <w:rsid w:val="00DD6DAE"/>
    <w:rsid w:val="00DD7226"/>
    <w:rsid w:val="00DD72BA"/>
    <w:rsid w:val="00DD7D29"/>
    <w:rsid w:val="00DE0629"/>
    <w:rsid w:val="00DE064B"/>
    <w:rsid w:val="00DE1673"/>
    <w:rsid w:val="00DE236A"/>
    <w:rsid w:val="00DE251D"/>
    <w:rsid w:val="00DE2AAC"/>
    <w:rsid w:val="00DE3488"/>
    <w:rsid w:val="00DE41DC"/>
    <w:rsid w:val="00DE449F"/>
    <w:rsid w:val="00DE47C5"/>
    <w:rsid w:val="00DE5827"/>
    <w:rsid w:val="00DE590F"/>
    <w:rsid w:val="00DE5933"/>
    <w:rsid w:val="00DE5B8C"/>
    <w:rsid w:val="00DE6469"/>
    <w:rsid w:val="00DE7639"/>
    <w:rsid w:val="00DE7775"/>
    <w:rsid w:val="00DE7890"/>
    <w:rsid w:val="00DE7FBE"/>
    <w:rsid w:val="00DF0990"/>
    <w:rsid w:val="00DF0C17"/>
    <w:rsid w:val="00DF101C"/>
    <w:rsid w:val="00DF1865"/>
    <w:rsid w:val="00DF1C52"/>
    <w:rsid w:val="00DF222A"/>
    <w:rsid w:val="00DF245D"/>
    <w:rsid w:val="00DF2505"/>
    <w:rsid w:val="00DF2E1D"/>
    <w:rsid w:val="00DF31E2"/>
    <w:rsid w:val="00DF4142"/>
    <w:rsid w:val="00DF487D"/>
    <w:rsid w:val="00DF4A3C"/>
    <w:rsid w:val="00DF4E23"/>
    <w:rsid w:val="00DF71E8"/>
    <w:rsid w:val="00DF7848"/>
    <w:rsid w:val="00DF78CD"/>
    <w:rsid w:val="00DF7CD0"/>
    <w:rsid w:val="00DF7DBA"/>
    <w:rsid w:val="00E0039D"/>
    <w:rsid w:val="00E0080A"/>
    <w:rsid w:val="00E00858"/>
    <w:rsid w:val="00E00B2E"/>
    <w:rsid w:val="00E00CFD"/>
    <w:rsid w:val="00E0106C"/>
    <w:rsid w:val="00E01183"/>
    <w:rsid w:val="00E0289E"/>
    <w:rsid w:val="00E02990"/>
    <w:rsid w:val="00E033BC"/>
    <w:rsid w:val="00E034CE"/>
    <w:rsid w:val="00E03951"/>
    <w:rsid w:val="00E03AE2"/>
    <w:rsid w:val="00E03C01"/>
    <w:rsid w:val="00E03D84"/>
    <w:rsid w:val="00E046C6"/>
    <w:rsid w:val="00E046F2"/>
    <w:rsid w:val="00E04E0C"/>
    <w:rsid w:val="00E064D4"/>
    <w:rsid w:val="00E06678"/>
    <w:rsid w:val="00E06966"/>
    <w:rsid w:val="00E06A91"/>
    <w:rsid w:val="00E06C37"/>
    <w:rsid w:val="00E072E7"/>
    <w:rsid w:val="00E10085"/>
    <w:rsid w:val="00E1013C"/>
    <w:rsid w:val="00E1061E"/>
    <w:rsid w:val="00E10D96"/>
    <w:rsid w:val="00E1130B"/>
    <w:rsid w:val="00E11D60"/>
    <w:rsid w:val="00E12179"/>
    <w:rsid w:val="00E12ABE"/>
    <w:rsid w:val="00E12EE0"/>
    <w:rsid w:val="00E13028"/>
    <w:rsid w:val="00E13C31"/>
    <w:rsid w:val="00E14810"/>
    <w:rsid w:val="00E148B4"/>
    <w:rsid w:val="00E14E4F"/>
    <w:rsid w:val="00E15051"/>
    <w:rsid w:val="00E151E1"/>
    <w:rsid w:val="00E15FF7"/>
    <w:rsid w:val="00E167A7"/>
    <w:rsid w:val="00E167D0"/>
    <w:rsid w:val="00E171D2"/>
    <w:rsid w:val="00E177CE"/>
    <w:rsid w:val="00E20925"/>
    <w:rsid w:val="00E20F99"/>
    <w:rsid w:val="00E211A2"/>
    <w:rsid w:val="00E2184C"/>
    <w:rsid w:val="00E21980"/>
    <w:rsid w:val="00E21A27"/>
    <w:rsid w:val="00E21E11"/>
    <w:rsid w:val="00E2215A"/>
    <w:rsid w:val="00E22199"/>
    <w:rsid w:val="00E2243F"/>
    <w:rsid w:val="00E22E19"/>
    <w:rsid w:val="00E22E7D"/>
    <w:rsid w:val="00E234CF"/>
    <w:rsid w:val="00E23553"/>
    <w:rsid w:val="00E23A1B"/>
    <w:rsid w:val="00E23BAA"/>
    <w:rsid w:val="00E2401B"/>
    <w:rsid w:val="00E24195"/>
    <w:rsid w:val="00E242E3"/>
    <w:rsid w:val="00E249AA"/>
    <w:rsid w:val="00E25397"/>
    <w:rsid w:val="00E2583C"/>
    <w:rsid w:val="00E26E07"/>
    <w:rsid w:val="00E27CFA"/>
    <w:rsid w:val="00E301BD"/>
    <w:rsid w:val="00E303A0"/>
    <w:rsid w:val="00E30784"/>
    <w:rsid w:val="00E309A0"/>
    <w:rsid w:val="00E312E0"/>
    <w:rsid w:val="00E313B2"/>
    <w:rsid w:val="00E3141E"/>
    <w:rsid w:val="00E314E8"/>
    <w:rsid w:val="00E318A9"/>
    <w:rsid w:val="00E31C57"/>
    <w:rsid w:val="00E32452"/>
    <w:rsid w:val="00E33018"/>
    <w:rsid w:val="00E330C4"/>
    <w:rsid w:val="00E33111"/>
    <w:rsid w:val="00E34252"/>
    <w:rsid w:val="00E344E0"/>
    <w:rsid w:val="00E35A23"/>
    <w:rsid w:val="00E36042"/>
    <w:rsid w:val="00E36A56"/>
    <w:rsid w:val="00E36B71"/>
    <w:rsid w:val="00E36F59"/>
    <w:rsid w:val="00E37065"/>
    <w:rsid w:val="00E37142"/>
    <w:rsid w:val="00E37397"/>
    <w:rsid w:val="00E37D9C"/>
    <w:rsid w:val="00E402E9"/>
    <w:rsid w:val="00E4062E"/>
    <w:rsid w:val="00E40706"/>
    <w:rsid w:val="00E415E0"/>
    <w:rsid w:val="00E421B2"/>
    <w:rsid w:val="00E42258"/>
    <w:rsid w:val="00E4238D"/>
    <w:rsid w:val="00E42BE9"/>
    <w:rsid w:val="00E42E8E"/>
    <w:rsid w:val="00E430C4"/>
    <w:rsid w:val="00E43243"/>
    <w:rsid w:val="00E43493"/>
    <w:rsid w:val="00E43F08"/>
    <w:rsid w:val="00E44034"/>
    <w:rsid w:val="00E4460C"/>
    <w:rsid w:val="00E449ED"/>
    <w:rsid w:val="00E44F6D"/>
    <w:rsid w:val="00E454A5"/>
    <w:rsid w:val="00E4575E"/>
    <w:rsid w:val="00E46AC7"/>
    <w:rsid w:val="00E471AD"/>
    <w:rsid w:val="00E476C8"/>
    <w:rsid w:val="00E50569"/>
    <w:rsid w:val="00E50958"/>
    <w:rsid w:val="00E50D48"/>
    <w:rsid w:val="00E51A19"/>
    <w:rsid w:val="00E5209A"/>
    <w:rsid w:val="00E523DB"/>
    <w:rsid w:val="00E528CE"/>
    <w:rsid w:val="00E54304"/>
    <w:rsid w:val="00E54F6D"/>
    <w:rsid w:val="00E555C2"/>
    <w:rsid w:val="00E55649"/>
    <w:rsid w:val="00E55BAC"/>
    <w:rsid w:val="00E562CA"/>
    <w:rsid w:val="00E5658D"/>
    <w:rsid w:val="00E5686C"/>
    <w:rsid w:val="00E56C4D"/>
    <w:rsid w:val="00E61135"/>
    <w:rsid w:val="00E61F1D"/>
    <w:rsid w:val="00E6231F"/>
    <w:rsid w:val="00E6237E"/>
    <w:rsid w:val="00E625ED"/>
    <w:rsid w:val="00E627C3"/>
    <w:rsid w:val="00E634FE"/>
    <w:rsid w:val="00E63792"/>
    <w:rsid w:val="00E63A23"/>
    <w:rsid w:val="00E63BF4"/>
    <w:rsid w:val="00E643B2"/>
    <w:rsid w:val="00E65C35"/>
    <w:rsid w:val="00E65F15"/>
    <w:rsid w:val="00E665BE"/>
    <w:rsid w:val="00E6691A"/>
    <w:rsid w:val="00E7039E"/>
    <w:rsid w:val="00E70417"/>
    <w:rsid w:val="00E70F26"/>
    <w:rsid w:val="00E7152B"/>
    <w:rsid w:val="00E71601"/>
    <w:rsid w:val="00E7177F"/>
    <w:rsid w:val="00E7184E"/>
    <w:rsid w:val="00E719D3"/>
    <w:rsid w:val="00E71BD1"/>
    <w:rsid w:val="00E72379"/>
    <w:rsid w:val="00E72DDB"/>
    <w:rsid w:val="00E72E30"/>
    <w:rsid w:val="00E72ED5"/>
    <w:rsid w:val="00E745D4"/>
    <w:rsid w:val="00E74C18"/>
    <w:rsid w:val="00E75CE0"/>
    <w:rsid w:val="00E77204"/>
    <w:rsid w:val="00E77357"/>
    <w:rsid w:val="00E80054"/>
    <w:rsid w:val="00E80194"/>
    <w:rsid w:val="00E8052F"/>
    <w:rsid w:val="00E808DB"/>
    <w:rsid w:val="00E808FB"/>
    <w:rsid w:val="00E80A91"/>
    <w:rsid w:val="00E80B8C"/>
    <w:rsid w:val="00E80D75"/>
    <w:rsid w:val="00E81353"/>
    <w:rsid w:val="00E81558"/>
    <w:rsid w:val="00E81CC9"/>
    <w:rsid w:val="00E81D0C"/>
    <w:rsid w:val="00E8215A"/>
    <w:rsid w:val="00E822A5"/>
    <w:rsid w:val="00E82EB6"/>
    <w:rsid w:val="00E83EBE"/>
    <w:rsid w:val="00E83FFA"/>
    <w:rsid w:val="00E84403"/>
    <w:rsid w:val="00E84813"/>
    <w:rsid w:val="00E848FD"/>
    <w:rsid w:val="00E849AD"/>
    <w:rsid w:val="00E849B3"/>
    <w:rsid w:val="00E857B7"/>
    <w:rsid w:val="00E85CF1"/>
    <w:rsid w:val="00E860AF"/>
    <w:rsid w:val="00E86272"/>
    <w:rsid w:val="00E86814"/>
    <w:rsid w:val="00E87203"/>
    <w:rsid w:val="00E8769C"/>
    <w:rsid w:val="00E8798A"/>
    <w:rsid w:val="00E90031"/>
    <w:rsid w:val="00E900F7"/>
    <w:rsid w:val="00E9038C"/>
    <w:rsid w:val="00E90FB1"/>
    <w:rsid w:val="00E91688"/>
    <w:rsid w:val="00E916DA"/>
    <w:rsid w:val="00E92787"/>
    <w:rsid w:val="00E928CC"/>
    <w:rsid w:val="00E92961"/>
    <w:rsid w:val="00E9313C"/>
    <w:rsid w:val="00E93B59"/>
    <w:rsid w:val="00E93E11"/>
    <w:rsid w:val="00E9533E"/>
    <w:rsid w:val="00E95974"/>
    <w:rsid w:val="00E9628F"/>
    <w:rsid w:val="00E969B8"/>
    <w:rsid w:val="00E96D94"/>
    <w:rsid w:val="00E97681"/>
    <w:rsid w:val="00EA0501"/>
    <w:rsid w:val="00EA055D"/>
    <w:rsid w:val="00EA0BE5"/>
    <w:rsid w:val="00EA0F15"/>
    <w:rsid w:val="00EA1E61"/>
    <w:rsid w:val="00EA1EE1"/>
    <w:rsid w:val="00EA1FB8"/>
    <w:rsid w:val="00EA244C"/>
    <w:rsid w:val="00EA3657"/>
    <w:rsid w:val="00EA3863"/>
    <w:rsid w:val="00EA3A37"/>
    <w:rsid w:val="00EA3F03"/>
    <w:rsid w:val="00EA4359"/>
    <w:rsid w:val="00EA479D"/>
    <w:rsid w:val="00EA4C59"/>
    <w:rsid w:val="00EA5832"/>
    <w:rsid w:val="00EA63D1"/>
    <w:rsid w:val="00EA65E2"/>
    <w:rsid w:val="00EA6B9F"/>
    <w:rsid w:val="00EA73C0"/>
    <w:rsid w:val="00EA786B"/>
    <w:rsid w:val="00EB03C1"/>
    <w:rsid w:val="00EB0ACE"/>
    <w:rsid w:val="00EB151B"/>
    <w:rsid w:val="00EB1A62"/>
    <w:rsid w:val="00EB22FF"/>
    <w:rsid w:val="00EB2486"/>
    <w:rsid w:val="00EB28C4"/>
    <w:rsid w:val="00EB3017"/>
    <w:rsid w:val="00EB312A"/>
    <w:rsid w:val="00EB3272"/>
    <w:rsid w:val="00EB3772"/>
    <w:rsid w:val="00EB3AA3"/>
    <w:rsid w:val="00EB4171"/>
    <w:rsid w:val="00EB41B2"/>
    <w:rsid w:val="00EB41E8"/>
    <w:rsid w:val="00EB4EAC"/>
    <w:rsid w:val="00EB531A"/>
    <w:rsid w:val="00EB58AD"/>
    <w:rsid w:val="00EB5903"/>
    <w:rsid w:val="00EB79D0"/>
    <w:rsid w:val="00EB7D53"/>
    <w:rsid w:val="00EB7E7E"/>
    <w:rsid w:val="00EB7ECF"/>
    <w:rsid w:val="00EC08BE"/>
    <w:rsid w:val="00EC0C4D"/>
    <w:rsid w:val="00EC0E9C"/>
    <w:rsid w:val="00EC128F"/>
    <w:rsid w:val="00EC1422"/>
    <w:rsid w:val="00EC1956"/>
    <w:rsid w:val="00EC28BE"/>
    <w:rsid w:val="00EC29DA"/>
    <w:rsid w:val="00EC2B04"/>
    <w:rsid w:val="00EC2B76"/>
    <w:rsid w:val="00EC2D5C"/>
    <w:rsid w:val="00EC4035"/>
    <w:rsid w:val="00EC4F42"/>
    <w:rsid w:val="00EC57DA"/>
    <w:rsid w:val="00EC58D2"/>
    <w:rsid w:val="00EC60F5"/>
    <w:rsid w:val="00EC6CD8"/>
    <w:rsid w:val="00EC6E1C"/>
    <w:rsid w:val="00ED13DE"/>
    <w:rsid w:val="00ED1A35"/>
    <w:rsid w:val="00ED1BA4"/>
    <w:rsid w:val="00ED1EC5"/>
    <w:rsid w:val="00ED296F"/>
    <w:rsid w:val="00ED2CFC"/>
    <w:rsid w:val="00ED3B42"/>
    <w:rsid w:val="00ED3C31"/>
    <w:rsid w:val="00ED4186"/>
    <w:rsid w:val="00ED4602"/>
    <w:rsid w:val="00ED470D"/>
    <w:rsid w:val="00ED49B7"/>
    <w:rsid w:val="00ED4AC0"/>
    <w:rsid w:val="00ED527E"/>
    <w:rsid w:val="00ED585E"/>
    <w:rsid w:val="00ED67B6"/>
    <w:rsid w:val="00ED6C05"/>
    <w:rsid w:val="00ED71E5"/>
    <w:rsid w:val="00ED75AD"/>
    <w:rsid w:val="00ED7909"/>
    <w:rsid w:val="00EE0FE4"/>
    <w:rsid w:val="00EE1198"/>
    <w:rsid w:val="00EE1CDE"/>
    <w:rsid w:val="00EE1D80"/>
    <w:rsid w:val="00EE286E"/>
    <w:rsid w:val="00EE299F"/>
    <w:rsid w:val="00EE2A56"/>
    <w:rsid w:val="00EE2EA4"/>
    <w:rsid w:val="00EE35D8"/>
    <w:rsid w:val="00EE3850"/>
    <w:rsid w:val="00EE42F8"/>
    <w:rsid w:val="00EE459C"/>
    <w:rsid w:val="00EE4DAE"/>
    <w:rsid w:val="00EE5082"/>
    <w:rsid w:val="00EE50BC"/>
    <w:rsid w:val="00EE55A5"/>
    <w:rsid w:val="00EE5C0E"/>
    <w:rsid w:val="00EE63DE"/>
    <w:rsid w:val="00EE653A"/>
    <w:rsid w:val="00EE6B56"/>
    <w:rsid w:val="00EE6BE3"/>
    <w:rsid w:val="00EF0049"/>
    <w:rsid w:val="00EF088C"/>
    <w:rsid w:val="00EF1925"/>
    <w:rsid w:val="00EF2064"/>
    <w:rsid w:val="00EF24F8"/>
    <w:rsid w:val="00EF2C93"/>
    <w:rsid w:val="00EF30C2"/>
    <w:rsid w:val="00EF3803"/>
    <w:rsid w:val="00EF3E33"/>
    <w:rsid w:val="00EF40B0"/>
    <w:rsid w:val="00EF420D"/>
    <w:rsid w:val="00EF43FD"/>
    <w:rsid w:val="00EF5198"/>
    <w:rsid w:val="00EF5988"/>
    <w:rsid w:val="00EF5CA5"/>
    <w:rsid w:val="00EF5FB9"/>
    <w:rsid w:val="00EF645C"/>
    <w:rsid w:val="00EF6676"/>
    <w:rsid w:val="00EF66DC"/>
    <w:rsid w:val="00F00578"/>
    <w:rsid w:val="00F00785"/>
    <w:rsid w:val="00F007E7"/>
    <w:rsid w:val="00F0080B"/>
    <w:rsid w:val="00F00821"/>
    <w:rsid w:val="00F0092A"/>
    <w:rsid w:val="00F00A1C"/>
    <w:rsid w:val="00F00EFB"/>
    <w:rsid w:val="00F018A3"/>
    <w:rsid w:val="00F01D6D"/>
    <w:rsid w:val="00F01E41"/>
    <w:rsid w:val="00F02641"/>
    <w:rsid w:val="00F030B8"/>
    <w:rsid w:val="00F030C9"/>
    <w:rsid w:val="00F0343D"/>
    <w:rsid w:val="00F03DF1"/>
    <w:rsid w:val="00F0553A"/>
    <w:rsid w:val="00F059FE"/>
    <w:rsid w:val="00F062CF"/>
    <w:rsid w:val="00F06CBC"/>
    <w:rsid w:val="00F0734D"/>
    <w:rsid w:val="00F07385"/>
    <w:rsid w:val="00F0768B"/>
    <w:rsid w:val="00F07E6B"/>
    <w:rsid w:val="00F10087"/>
    <w:rsid w:val="00F100B0"/>
    <w:rsid w:val="00F1082C"/>
    <w:rsid w:val="00F11814"/>
    <w:rsid w:val="00F11910"/>
    <w:rsid w:val="00F11E75"/>
    <w:rsid w:val="00F122E0"/>
    <w:rsid w:val="00F12538"/>
    <w:rsid w:val="00F1302D"/>
    <w:rsid w:val="00F130BB"/>
    <w:rsid w:val="00F13AA9"/>
    <w:rsid w:val="00F13FCB"/>
    <w:rsid w:val="00F13FE1"/>
    <w:rsid w:val="00F1437F"/>
    <w:rsid w:val="00F14AC6"/>
    <w:rsid w:val="00F15480"/>
    <w:rsid w:val="00F155ED"/>
    <w:rsid w:val="00F1570E"/>
    <w:rsid w:val="00F1578F"/>
    <w:rsid w:val="00F15CFD"/>
    <w:rsid w:val="00F15E9E"/>
    <w:rsid w:val="00F16132"/>
    <w:rsid w:val="00F1613B"/>
    <w:rsid w:val="00F16C28"/>
    <w:rsid w:val="00F17095"/>
    <w:rsid w:val="00F17104"/>
    <w:rsid w:val="00F17E32"/>
    <w:rsid w:val="00F17FA7"/>
    <w:rsid w:val="00F2052E"/>
    <w:rsid w:val="00F21211"/>
    <w:rsid w:val="00F214A8"/>
    <w:rsid w:val="00F218AE"/>
    <w:rsid w:val="00F2245D"/>
    <w:rsid w:val="00F22A34"/>
    <w:rsid w:val="00F23578"/>
    <w:rsid w:val="00F23D1B"/>
    <w:rsid w:val="00F2439E"/>
    <w:rsid w:val="00F24491"/>
    <w:rsid w:val="00F244DF"/>
    <w:rsid w:val="00F24E2E"/>
    <w:rsid w:val="00F24EB9"/>
    <w:rsid w:val="00F24FC4"/>
    <w:rsid w:val="00F25168"/>
    <w:rsid w:val="00F2535F"/>
    <w:rsid w:val="00F25FDB"/>
    <w:rsid w:val="00F265BB"/>
    <w:rsid w:val="00F26801"/>
    <w:rsid w:val="00F2692E"/>
    <w:rsid w:val="00F27223"/>
    <w:rsid w:val="00F27718"/>
    <w:rsid w:val="00F30088"/>
    <w:rsid w:val="00F308FB"/>
    <w:rsid w:val="00F3095E"/>
    <w:rsid w:val="00F30F65"/>
    <w:rsid w:val="00F310D4"/>
    <w:rsid w:val="00F317E1"/>
    <w:rsid w:val="00F3183D"/>
    <w:rsid w:val="00F32098"/>
    <w:rsid w:val="00F32A3C"/>
    <w:rsid w:val="00F32BB7"/>
    <w:rsid w:val="00F33000"/>
    <w:rsid w:val="00F33590"/>
    <w:rsid w:val="00F33655"/>
    <w:rsid w:val="00F337A4"/>
    <w:rsid w:val="00F343CF"/>
    <w:rsid w:val="00F34FFE"/>
    <w:rsid w:val="00F356E4"/>
    <w:rsid w:val="00F357F6"/>
    <w:rsid w:val="00F36137"/>
    <w:rsid w:val="00F36B1A"/>
    <w:rsid w:val="00F370B9"/>
    <w:rsid w:val="00F37126"/>
    <w:rsid w:val="00F37506"/>
    <w:rsid w:val="00F37723"/>
    <w:rsid w:val="00F379E0"/>
    <w:rsid w:val="00F407A6"/>
    <w:rsid w:val="00F41763"/>
    <w:rsid w:val="00F417C6"/>
    <w:rsid w:val="00F421DE"/>
    <w:rsid w:val="00F4252E"/>
    <w:rsid w:val="00F42ED5"/>
    <w:rsid w:val="00F43688"/>
    <w:rsid w:val="00F43713"/>
    <w:rsid w:val="00F43B0B"/>
    <w:rsid w:val="00F43D01"/>
    <w:rsid w:val="00F43F6A"/>
    <w:rsid w:val="00F44289"/>
    <w:rsid w:val="00F445A2"/>
    <w:rsid w:val="00F454EC"/>
    <w:rsid w:val="00F45806"/>
    <w:rsid w:val="00F458A5"/>
    <w:rsid w:val="00F45972"/>
    <w:rsid w:val="00F45A23"/>
    <w:rsid w:val="00F46145"/>
    <w:rsid w:val="00F46487"/>
    <w:rsid w:val="00F47550"/>
    <w:rsid w:val="00F477D7"/>
    <w:rsid w:val="00F4796E"/>
    <w:rsid w:val="00F479FE"/>
    <w:rsid w:val="00F47B74"/>
    <w:rsid w:val="00F5064C"/>
    <w:rsid w:val="00F5068F"/>
    <w:rsid w:val="00F506E0"/>
    <w:rsid w:val="00F50BE5"/>
    <w:rsid w:val="00F50DB6"/>
    <w:rsid w:val="00F519D2"/>
    <w:rsid w:val="00F51B66"/>
    <w:rsid w:val="00F52BCB"/>
    <w:rsid w:val="00F531FE"/>
    <w:rsid w:val="00F53659"/>
    <w:rsid w:val="00F53DB8"/>
    <w:rsid w:val="00F5493A"/>
    <w:rsid w:val="00F553DC"/>
    <w:rsid w:val="00F5560B"/>
    <w:rsid w:val="00F55D18"/>
    <w:rsid w:val="00F56642"/>
    <w:rsid w:val="00F56774"/>
    <w:rsid w:val="00F56872"/>
    <w:rsid w:val="00F56FDF"/>
    <w:rsid w:val="00F570FE"/>
    <w:rsid w:val="00F5742A"/>
    <w:rsid w:val="00F5751B"/>
    <w:rsid w:val="00F609CA"/>
    <w:rsid w:val="00F60CCC"/>
    <w:rsid w:val="00F61A81"/>
    <w:rsid w:val="00F61F9B"/>
    <w:rsid w:val="00F62232"/>
    <w:rsid w:val="00F625C8"/>
    <w:rsid w:val="00F6275F"/>
    <w:rsid w:val="00F62EDF"/>
    <w:rsid w:val="00F634D3"/>
    <w:rsid w:val="00F6401D"/>
    <w:rsid w:val="00F6414E"/>
    <w:rsid w:val="00F650FE"/>
    <w:rsid w:val="00F65138"/>
    <w:rsid w:val="00F654C3"/>
    <w:rsid w:val="00F65CC0"/>
    <w:rsid w:val="00F67103"/>
    <w:rsid w:val="00F679E5"/>
    <w:rsid w:val="00F7002B"/>
    <w:rsid w:val="00F70E74"/>
    <w:rsid w:val="00F7118A"/>
    <w:rsid w:val="00F7135D"/>
    <w:rsid w:val="00F73316"/>
    <w:rsid w:val="00F738AC"/>
    <w:rsid w:val="00F73DB2"/>
    <w:rsid w:val="00F75332"/>
    <w:rsid w:val="00F75C64"/>
    <w:rsid w:val="00F75E8D"/>
    <w:rsid w:val="00F75EFC"/>
    <w:rsid w:val="00F76017"/>
    <w:rsid w:val="00F76896"/>
    <w:rsid w:val="00F76A1A"/>
    <w:rsid w:val="00F76A29"/>
    <w:rsid w:val="00F76BB2"/>
    <w:rsid w:val="00F76C29"/>
    <w:rsid w:val="00F76C46"/>
    <w:rsid w:val="00F76C87"/>
    <w:rsid w:val="00F77A62"/>
    <w:rsid w:val="00F77F15"/>
    <w:rsid w:val="00F8012C"/>
    <w:rsid w:val="00F80905"/>
    <w:rsid w:val="00F80966"/>
    <w:rsid w:val="00F80DD3"/>
    <w:rsid w:val="00F81112"/>
    <w:rsid w:val="00F81406"/>
    <w:rsid w:val="00F815F8"/>
    <w:rsid w:val="00F817AB"/>
    <w:rsid w:val="00F81BC5"/>
    <w:rsid w:val="00F82009"/>
    <w:rsid w:val="00F82214"/>
    <w:rsid w:val="00F8260C"/>
    <w:rsid w:val="00F833FE"/>
    <w:rsid w:val="00F83999"/>
    <w:rsid w:val="00F83A19"/>
    <w:rsid w:val="00F8472C"/>
    <w:rsid w:val="00F84A8F"/>
    <w:rsid w:val="00F85146"/>
    <w:rsid w:val="00F85D4F"/>
    <w:rsid w:val="00F85FE6"/>
    <w:rsid w:val="00F862C5"/>
    <w:rsid w:val="00F8653A"/>
    <w:rsid w:val="00F86997"/>
    <w:rsid w:val="00F87BC5"/>
    <w:rsid w:val="00F90946"/>
    <w:rsid w:val="00F90A11"/>
    <w:rsid w:val="00F91047"/>
    <w:rsid w:val="00F911BB"/>
    <w:rsid w:val="00F913D3"/>
    <w:rsid w:val="00F91405"/>
    <w:rsid w:val="00F91463"/>
    <w:rsid w:val="00F91625"/>
    <w:rsid w:val="00F91B70"/>
    <w:rsid w:val="00F91C47"/>
    <w:rsid w:val="00F91FD2"/>
    <w:rsid w:val="00F92775"/>
    <w:rsid w:val="00F92B4B"/>
    <w:rsid w:val="00F92E8A"/>
    <w:rsid w:val="00F93103"/>
    <w:rsid w:val="00F9355B"/>
    <w:rsid w:val="00F93933"/>
    <w:rsid w:val="00F93FF5"/>
    <w:rsid w:val="00F94DF3"/>
    <w:rsid w:val="00F9503D"/>
    <w:rsid w:val="00F962AC"/>
    <w:rsid w:val="00F96A2D"/>
    <w:rsid w:val="00F9730F"/>
    <w:rsid w:val="00FA0067"/>
    <w:rsid w:val="00FA05EE"/>
    <w:rsid w:val="00FA07A7"/>
    <w:rsid w:val="00FA1713"/>
    <w:rsid w:val="00FA207E"/>
    <w:rsid w:val="00FA219A"/>
    <w:rsid w:val="00FA2361"/>
    <w:rsid w:val="00FA2439"/>
    <w:rsid w:val="00FA3860"/>
    <w:rsid w:val="00FA3986"/>
    <w:rsid w:val="00FA3CCA"/>
    <w:rsid w:val="00FA40A0"/>
    <w:rsid w:val="00FA42CC"/>
    <w:rsid w:val="00FA5993"/>
    <w:rsid w:val="00FA5C4B"/>
    <w:rsid w:val="00FA5C52"/>
    <w:rsid w:val="00FA6A90"/>
    <w:rsid w:val="00FA6C14"/>
    <w:rsid w:val="00FA6C51"/>
    <w:rsid w:val="00FA7038"/>
    <w:rsid w:val="00FA7536"/>
    <w:rsid w:val="00FA7652"/>
    <w:rsid w:val="00FA7C79"/>
    <w:rsid w:val="00FB015E"/>
    <w:rsid w:val="00FB0412"/>
    <w:rsid w:val="00FB075D"/>
    <w:rsid w:val="00FB0996"/>
    <w:rsid w:val="00FB11B0"/>
    <w:rsid w:val="00FB1893"/>
    <w:rsid w:val="00FB1EB5"/>
    <w:rsid w:val="00FB1EEB"/>
    <w:rsid w:val="00FB2444"/>
    <w:rsid w:val="00FB26B1"/>
    <w:rsid w:val="00FB281A"/>
    <w:rsid w:val="00FB29C4"/>
    <w:rsid w:val="00FB2ED5"/>
    <w:rsid w:val="00FB313B"/>
    <w:rsid w:val="00FB3454"/>
    <w:rsid w:val="00FB3C0C"/>
    <w:rsid w:val="00FB3CB5"/>
    <w:rsid w:val="00FB4F7D"/>
    <w:rsid w:val="00FB51B4"/>
    <w:rsid w:val="00FB5646"/>
    <w:rsid w:val="00FB601E"/>
    <w:rsid w:val="00FB655F"/>
    <w:rsid w:val="00FB65C3"/>
    <w:rsid w:val="00FB68E3"/>
    <w:rsid w:val="00FB6C1D"/>
    <w:rsid w:val="00FB6FE1"/>
    <w:rsid w:val="00FB742A"/>
    <w:rsid w:val="00FB7917"/>
    <w:rsid w:val="00FB7F91"/>
    <w:rsid w:val="00FC009B"/>
    <w:rsid w:val="00FC10A3"/>
    <w:rsid w:val="00FC1F49"/>
    <w:rsid w:val="00FC1F5A"/>
    <w:rsid w:val="00FC243D"/>
    <w:rsid w:val="00FC2ACC"/>
    <w:rsid w:val="00FC2B11"/>
    <w:rsid w:val="00FC2F9C"/>
    <w:rsid w:val="00FC42A5"/>
    <w:rsid w:val="00FC44D9"/>
    <w:rsid w:val="00FC4864"/>
    <w:rsid w:val="00FC4E0A"/>
    <w:rsid w:val="00FC5A4D"/>
    <w:rsid w:val="00FC5D45"/>
    <w:rsid w:val="00FC6682"/>
    <w:rsid w:val="00FC689D"/>
    <w:rsid w:val="00FC7AAB"/>
    <w:rsid w:val="00FD0E5C"/>
    <w:rsid w:val="00FD137A"/>
    <w:rsid w:val="00FD16E4"/>
    <w:rsid w:val="00FD1937"/>
    <w:rsid w:val="00FD19D8"/>
    <w:rsid w:val="00FD1F1C"/>
    <w:rsid w:val="00FD2F91"/>
    <w:rsid w:val="00FD33FB"/>
    <w:rsid w:val="00FD3DC6"/>
    <w:rsid w:val="00FD508D"/>
    <w:rsid w:val="00FD51D6"/>
    <w:rsid w:val="00FD5245"/>
    <w:rsid w:val="00FD530F"/>
    <w:rsid w:val="00FD545A"/>
    <w:rsid w:val="00FD6217"/>
    <w:rsid w:val="00FD6B26"/>
    <w:rsid w:val="00FD7673"/>
    <w:rsid w:val="00FD78C0"/>
    <w:rsid w:val="00FD7D2F"/>
    <w:rsid w:val="00FE0A33"/>
    <w:rsid w:val="00FE0B03"/>
    <w:rsid w:val="00FE10BD"/>
    <w:rsid w:val="00FE1927"/>
    <w:rsid w:val="00FE305D"/>
    <w:rsid w:val="00FE3154"/>
    <w:rsid w:val="00FE31F7"/>
    <w:rsid w:val="00FE375B"/>
    <w:rsid w:val="00FE4FB7"/>
    <w:rsid w:val="00FE595C"/>
    <w:rsid w:val="00FE6413"/>
    <w:rsid w:val="00FE69CE"/>
    <w:rsid w:val="00FE72AD"/>
    <w:rsid w:val="00FF0567"/>
    <w:rsid w:val="00FF101D"/>
    <w:rsid w:val="00FF17BA"/>
    <w:rsid w:val="00FF1C44"/>
    <w:rsid w:val="00FF236D"/>
    <w:rsid w:val="00FF33FD"/>
    <w:rsid w:val="00FF3475"/>
    <w:rsid w:val="00FF3731"/>
    <w:rsid w:val="00FF37E3"/>
    <w:rsid w:val="00FF3AD1"/>
    <w:rsid w:val="00FF3F7F"/>
    <w:rsid w:val="00FF44A4"/>
    <w:rsid w:val="00FF4D7A"/>
    <w:rsid w:val="00FF52F6"/>
    <w:rsid w:val="00FF5549"/>
    <w:rsid w:val="00FF56CD"/>
    <w:rsid w:val="00FF5897"/>
    <w:rsid w:val="00FF5913"/>
    <w:rsid w:val="00FF5A95"/>
    <w:rsid w:val="00FF5B64"/>
    <w:rsid w:val="00FF5F8F"/>
    <w:rsid w:val="00FF611A"/>
    <w:rsid w:val="00FF61AA"/>
    <w:rsid w:val="00FF6466"/>
    <w:rsid w:val="00FF6BB0"/>
    <w:rsid w:val="00FF73DD"/>
    <w:rsid w:val="00FF79FD"/>
    <w:rsid w:val="00FF7B67"/>
    <w:rsid w:val="00FF7B9C"/>
    <w:rsid w:val="00FF7CA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5034BFE"/>
  <w15:docId w15:val="{CAF66397-768A-D745-A843-0DB3AC09B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F5220"/>
    <w:pPr>
      <w:spacing w:line="240" w:lineRule="auto"/>
    </w:pPr>
    <w:rPr>
      <w:rFonts w:ascii="Times New Roman" w:eastAsia="Times New Roman" w:hAnsi="Times New Roman" w:cs="Times New Roman"/>
      <w:sz w:val="24"/>
      <w:szCs w:val="24"/>
      <w:lang w:val="en-US"/>
    </w:rPr>
  </w:style>
  <w:style w:type="paragraph" w:styleId="Heading1">
    <w:name w:val="heading 1"/>
    <w:basedOn w:val="Normal"/>
    <w:next w:val="Normal"/>
    <w:uiPriority w:val="9"/>
    <w:qFormat/>
    <w:pPr>
      <w:keepNext/>
      <w:keepLines/>
      <w:spacing w:before="400" w:after="120" w:line="276" w:lineRule="auto"/>
      <w:outlineLvl w:val="0"/>
    </w:pPr>
    <w:rPr>
      <w:rFonts w:ascii="Century Schoolbook" w:eastAsia="Century Schoolbook" w:hAnsi="Century Schoolbook" w:cs="Century Schoolbook"/>
      <w:b/>
      <w:sz w:val="22"/>
      <w:szCs w:val="22"/>
      <w:lang w:val="en"/>
    </w:rPr>
  </w:style>
  <w:style w:type="paragraph" w:styleId="Heading2">
    <w:name w:val="heading 2"/>
    <w:basedOn w:val="Normal"/>
    <w:next w:val="Normal"/>
    <w:uiPriority w:val="9"/>
    <w:unhideWhenUsed/>
    <w:qFormat/>
    <w:pPr>
      <w:keepNext/>
      <w:keepLines/>
      <w:spacing w:before="300" w:after="300" w:line="276" w:lineRule="auto"/>
      <w:ind w:left="720" w:hanging="360"/>
      <w:outlineLvl w:val="1"/>
    </w:pPr>
    <w:rPr>
      <w:rFonts w:ascii="Century Schoolbook" w:eastAsia="Century Schoolbook" w:hAnsi="Century Schoolbook" w:cs="Century Schoolbook"/>
      <w:sz w:val="22"/>
      <w:szCs w:val="22"/>
      <w:lang w:val="en"/>
    </w:rPr>
  </w:style>
  <w:style w:type="paragraph" w:styleId="Heading3">
    <w:name w:val="heading 3"/>
    <w:basedOn w:val="Normal"/>
    <w:next w:val="Normal"/>
    <w:uiPriority w:val="9"/>
    <w:unhideWhenUsed/>
    <w:qFormat/>
    <w:pPr>
      <w:keepNext/>
      <w:keepLines/>
      <w:spacing w:before="300" w:after="300" w:line="276" w:lineRule="auto"/>
      <w:ind w:left="1440" w:hanging="360"/>
      <w:outlineLvl w:val="2"/>
    </w:pPr>
    <w:rPr>
      <w:rFonts w:ascii="Century Schoolbook" w:eastAsia="Century Schoolbook" w:hAnsi="Century Schoolbook" w:cs="Century Schoolbook"/>
      <w:sz w:val="22"/>
      <w:szCs w:val="22"/>
      <w:lang w:val="en"/>
    </w:rPr>
  </w:style>
  <w:style w:type="paragraph" w:styleId="Heading4">
    <w:name w:val="heading 4"/>
    <w:basedOn w:val="Normal"/>
    <w:next w:val="Normal"/>
    <w:uiPriority w:val="9"/>
    <w:semiHidden/>
    <w:unhideWhenUsed/>
    <w:qFormat/>
    <w:pPr>
      <w:keepNext/>
      <w:keepLines/>
      <w:spacing w:before="300" w:after="300" w:line="276" w:lineRule="auto"/>
      <w:ind w:left="2160" w:hanging="360"/>
      <w:outlineLvl w:val="3"/>
    </w:pPr>
    <w:rPr>
      <w:sz w:val="22"/>
      <w:szCs w:val="22"/>
      <w:lang w:val="en"/>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line="276" w:lineRule="auto"/>
    </w:pPr>
    <w:rPr>
      <w:rFonts w:ascii="Arial" w:eastAsia="Arial" w:hAnsi="Arial" w:cs="Arial"/>
      <w:sz w:val="52"/>
      <w:szCs w:val="52"/>
      <w:lang w:val="en"/>
    </w:rPr>
  </w:style>
  <w:style w:type="paragraph" w:styleId="Subtitle">
    <w:name w:val="Subtitle"/>
    <w:basedOn w:val="Normal"/>
    <w:next w:val="Normal"/>
    <w:uiPriority w:val="11"/>
    <w:qFormat/>
    <w:pPr>
      <w:keepNext/>
      <w:keepLines/>
      <w:spacing w:after="320" w:line="276" w:lineRule="auto"/>
    </w:pPr>
    <w:rPr>
      <w:rFonts w:ascii="Arial" w:eastAsia="Arial" w:hAnsi="Arial" w:cs="Arial"/>
      <w:color w:val="666666"/>
      <w:sz w:val="30"/>
      <w:szCs w:val="30"/>
      <w:lang w:val="en"/>
    </w:rPr>
  </w:style>
  <w:style w:type="paragraph" w:styleId="CommentText">
    <w:name w:val="annotation text"/>
    <w:basedOn w:val="Normal"/>
    <w:link w:val="CommentTextChar"/>
    <w:uiPriority w:val="99"/>
    <w:unhideWhenUsed/>
    <w:rsid w:val="004A35D6"/>
    <w:rPr>
      <w:rFonts w:ascii="Arial" w:eastAsia="Arial" w:hAnsi="Arial" w:cs="Arial"/>
      <w:sz w:val="20"/>
      <w:szCs w:val="20"/>
      <w:lang w:val="en"/>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EC2B76"/>
    <w:pPr>
      <w:spacing w:line="240" w:lineRule="auto"/>
    </w:pPr>
  </w:style>
  <w:style w:type="paragraph" w:styleId="FootnoteText">
    <w:name w:val="footnote text"/>
    <w:basedOn w:val="Normal"/>
    <w:link w:val="FootnoteTextChar"/>
    <w:uiPriority w:val="99"/>
    <w:unhideWhenUsed/>
    <w:rsid w:val="00E857B7"/>
    <w:rPr>
      <w:rFonts w:ascii="Arial" w:eastAsia="Arial" w:hAnsi="Arial" w:cs="Arial"/>
      <w:sz w:val="20"/>
      <w:szCs w:val="20"/>
      <w:lang w:val="en"/>
    </w:rPr>
  </w:style>
  <w:style w:type="character" w:customStyle="1" w:styleId="FootnoteTextChar">
    <w:name w:val="Footnote Text Char"/>
    <w:basedOn w:val="DefaultParagraphFont"/>
    <w:link w:val="FootnoteText"/>
    <w:uiPriority w:val="99"/>
    <w:rsid w:val="00E857B7"/>
    <w:rPr>
      <w:sz w:val="20"/>
      <w:szCs w:val="20"/>
    </w:rPr>
  </w:style>
  <w:style w:type="character" w:styleId="FootnoteReference">
    <w:name w:val="footnote reference"/>
    <w:basedOn w:val="DefaultParagraphFont"/>
    <w:uiPriority w:val="99"/>
    <w:semiHidden/>
    <w:unhideWhenUsed/>
    <w:rsid w:val="00E857B7"/>
    <w:rPr>
      <w:vertAlign w:val="superscript"/>
    </w:rPr>
  </w:style>
  <w:style w:type="character" w:styleId="Hyperlink">
    <w:name w:val="Hyperlink"/>
    <w:basedOn w:val="DefaultParagraphFont"/>
    <w:uiPriority w:val="99"/>
    <w:unhideWhenUsed/>
    <w:rsid w:val="005F5220"/>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C43E71"/>
    <w:rPr>
      <w:rFonts w:ascii="Times New Roman" w:eastAsia="Times New Roman" w:hAnsi="Times New Roman" w:cs="Times New Roman"/>
      <w:b/>
      <w:bCs/>
      <w:lang w:val="en-US"/>
    </w:rPr>
  </w:style>
  <w:style w:type="character" w:customStyle="1" w:styleId="CommentSubjectChar">
    <w:name w:val="Comment Subject Char"/>
    <w:basedOn w:val="CommentTextChar"/>
    <w:link w:val="CommentSubject"/>
    <w:uiPriority w:val="99"/>
    <w:semiHidden/>
    <w:rsid w:val="00C43E71"/>
    <w:rPr>
      <w:rFonts w:ascii="Times New Roman" w:eastAsia="Times New Roman" w:hAnsi="Times New Roman" w:cs="Times New Roman"/>
      <w:b/>
      <w:bCs/>
      <w:sz w:val="20"/>
      <w:szCs w:val="20"/>
      <w:lang w:val="en-US"/>
    </w:rPr>
  </w:style>
  <w:style w:type="paragraph" w:styleId="Header">
    <w:name w:val="header"/>
    <w:basedOn w:val="Normal"/>
    <w:link w:val="HeaderChar"/>
    <w:uiPriority w:val="99"/>
    <w:unhideWhenUsed/>
    <w:rsid w:val="004A35D6"/>
    <w:pPr>
      <w:tabs>
        <w:tab w:val="center" w:pos="4680"/>
        <w:tab w:val="right" w:pos="9360"/>
      </w:tabs>
    </w:pPr>
  </w:style>
  <w:style w:type="character" w:customStyle="1" w:styleId="HeaderChar">
    <w:name w:val="Header Char"/>
    <w:basedOn w:val="DefaultParagraphFont"/>
    <w:link w:val="Header"/>
    <w:uiPriority w:val="99"/>
    <w:rsid w:val="00DB3BB8"/>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4A35D6"/>
    <w:pPr>
      <w:tabs>
        <w:tab w:val="center" w:pos="4680"/>
        <w:tab w:val="right" w:pos="9360"/>
      </w:tabs>
    </w:pPr>
  </w:style>
  <w:style w:type="character" w:customStyle="1" w:styleId="FooterChar">
    <w:name w:val="Footer Char"/>
    <w:basedOn w:val="DefaultParagraphFont"/>
    <w:link w:val="Footer"/>
    <w:uiPriority w:val="99"/>
    <w:rsid w:val="00DB3BB8"/>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880AB6"/>
    <w:rPr>
      <w:b/>
      <w:bCs/>
    </w:rPr>
  </w:style>
  <w:style w:type="character" w:styleId="FollowedHyperlink">
    <w:name w:val="FollowedHyperlink"/>
    <w:basedOn w:val="DefaultParagraphFont"/>
    <w:uiPriority w:val="99"/>
    <w:semiHidden/>
    <w:unhideWhenUsed/>
    <w:rsid w:val="00880AB6"/>
    <w:rPr>
      <w:color w:val="800080" w:themeColor="followedHyperlink"/>
      <w:u w:val="single"/>
    </w:rPr>
  </w:style>
  <w:style w:type="character" w:customStyle="1" w:styleId="UnresolvedMention1">
    <w:name w:val="Unresolved Mention1"/>
    <w:basedOn w:val="DefaultParagraphFont"/>
    <w:uiPriority w:val="99"/>
    <w:semiHidden/>
    <w:unhideWhenUsed/>
    <w:rsid w:val="005E48E7"/>
    <w:rPr>
      <w:color w:val="605E5C"/>
      <w:shd w:val="clear" w:color="auto" w:fill="E1DFDD"/>
    </w:rPr>
  </w:style>
  <w:style w:type="paragraph" w:styleId="BalloonText">
    <w:name w:val="Balloon Text"/>
    <w:basedOn w:val="Normal"/>
    <w:link w:val="BalloonTextChar"/>
    <w:uiPriority w:val="99"/>
    <w:semiHidden/>
    <w:unhideWhenUsed/>
    <w:rsid w:val="005E48E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48E7"/>
    <w:rPr>
      <w:rFonts w:ascii="Segoe UI" w:eastAsia="Times New Roman" w:hAnsi="Segoe UI" w:cs="Segoe UI"/>
      <w:sz w:val="18"/>
      <w:szCs w:val="18"/>
      <w:lang w:val="en-US"/>
    </w:rPr>
  </w:style>
  <w:style w:type="character" w:customStyle="1" w:styleId="UnresolvedMention2">
    <w:name w:val="Unresolved Mention2"/>
    <w:basedOn w:val="DefaultParagraphFont"/>
    <w:uiPriority w:val="99"/>
    <w:semiHidden/>
    <w:unhideWhenUsed/>
    <w:rsid w:val="00CB78ED"/>
    <w:rPr>
      <w:color w:val="605E5C"/>
      <w:shd w:val="clear" w:color="auto" w:fill="E1DFDD"/>
    </w:rPr>
  </w:style>
  <w:style w:type="paragraph" w:styleId="TOC1">
    <w:name w:val="toc 1"/>
    <w:basedOn w:val="Normal"/>
    <w:next w:val="Normal"/>
    <w:autoRedefine/>
    <w:uiPriority w:val="39"/>
    <w:unhideWhenUsed/>
    <w:rsid w:val="004A35D6"/>
    <w:pPr>
      <w:spacing w:after="100"/>
    </w:pPr>
  </w:style>
  <w:style w:type="paragraph" w:styleId="TOC2">
    <w:name w:val="toc 2"/>
    <w:basedOn w:val="Normal"/>
    <w:next w:val="Normal"/>
    <w:autoRedefine/>
    <w:uiPriority w:val="39"/>
    <w:unhideWhenUsed/>
    <w:rsid w:val="004A35D6"/>
    <w:pPr>
      <w:tabs>
        <w:tab w:val="right" w:leader="dot" w:pos="7910"/>
      </w:tabs>
      <w:spacing w:after="100"/>
      <w:ind w:left="240"/>
    </w:pPr>
  </w:style>
  <w:style w:type="paragraph" w:styleId="TOC3">
    <w:name w:val="toc 3"/>
    <w:basedOn w:val="Normal"/>
    <w:next w:val="Normal"/>
    <w:autoRedefine/>
    <w:uiPriority w:val="39"/>
    <w:unhideWhenUsed/>
    <w:rsid w:val="004A35D6"/>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82939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image" Target="media/image1.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microsoft.com/office/2018/08/relationships/commentsExtensible" Target="commentsExtensible.xml"/></Relationships>
</file>

<file path=word/_rels/footnotes.xml.rels><?xml version="1.0" encoding="UTF-8" standalone="yes"?>
<Relationships xmlns="http://schemas.openxmlformats.org/package/2006/relationships"><Relationship Id="rId3" Type="http://schemas.openxmlformats.org/officeDocument/2006/relationships/hyperlink" Target="https://www.nber.org/system/files/working_papers/w27816/w27816.pdf" TargetMode="External"/><Relationship Id="rId2" Type="http://schemas.openxmlformats.org/officeDocument/2006/relationships/hyperlink" Target="https://perma.cc/RBE5-EW49" TargetMode="External"/><Relationship Id="rId1" Type="http://schemas.openxmlformats.org/officeDocument/2006/relationships/hyperlink" Target="https://cohen.house.gov/sites/evo-subsites/cohen-evo.house.gov/files/BMIT%20Section-By-Sectio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395cc12c-c292-4cff-aa50-28ed47c3ee17">
      <UserInfo>
        <DisplayName>P.J. Austin</DisplayName>
        <AccountId>907</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B0C09CCE8A2F54CB883455412A5482E" ma:contentTypeVersion="11" ma:contentTypeDescription="Create a new document." ma:contentTypeScope="" ma:versionID="721e7db48294a828e9af71274d509171">
  <xsd:schema xmlns:xsd="http://www.w3.org/2001/XMLSchema" xmlns:xs="http://www.w3.org/2001/XMLSchema" xmlns:p="http://schemas.microsoft.com/office/2006/metadata/properties" xmlns:ns2="eb436ba5-60c6-471d-a818-fd002d2fd5d8" xmlns:ns3="395cc12c-c292-4cff-aa50-28ed47c3ee17" targetNamespace="http://schemas.microsoft.com/office/2006/metadata/properties" ma:root="true" ma:fieldsID="38ec6cb4ca5abaa4e7397fd683ab5bee" ns2:_="" ns3:_="">
    <xsd:import namespace="eb436ba5-60c6-471d-a818-fd002d2fd5d8"/>
    <xsd:import namespace="395cc12c-c292-4cff-aa50-28ed47c3ee1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436ba5-60c6-471d-a818-fd002d2fd5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5cc12c-c292-4cff-aa50-28ed47c3ee1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ADC2E5-ED92-4E20-B4B7-4725009477A2}">
  <ds:schemaRefs>
    <ds:schemaRef ds:uri="http://schemas.microsoft.com/office/2006/metadata/properties"/>
    <ds:schemaRef ds:uri="http://schemas.microsoft.com/office/infopath/2007/PartnerControls"/>
    <ds:schemaRef ds:uri="395cc12c-c292-4cff-aa50-28ed47c3ee17"/>
  </ds:schemaRefs>
</ds:datastoreItem>
</file>

<file path=customXml/itemProps2.xml><?xml version="1.0" encoding="utf-8"?>
<ds:datastoreItem xmlns:ds="http://schemas.openxmlformats.org/officeDocument/2006/customXml" ds:itemID="{FB24B7DD-0083-496B-B601-28AC6CE10591}">
  <ds:schemaRefs>
    <ds:schemaRef ds:uri="http://schemas.microsoft.com/sharepoint/v3/contenttype/forms"/>
  </ds:schemaRefs>
</ds:datastoreItem>
</file>

<file path=customXml/itemProps3.xml><?xml version="1.0" encoding="utf-8"?>
<ds:datastoreItem xmlns:ds="http://schemas.openxmlformats.org/officeDocument/2006/customXml" ds:itemID="{F4AFAE3C-352E-409B-88E4-4A37506400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436ba5-60c6-471d-a818-fd002d2fd5d8"/>
    <ds:schemaRef ds:uri="395cc12c-c292-4cff-aa50-28ed47c3ee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5A75C51-E54F-4E07-932B-1AFE15B93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107</Pages>
  <Words>23202</Words>
  <Characters>132257</Characters>
  <Application>Microsoft Office Word</Application>
  <DocSecurity>0</DocSecurity>
  <Lines>1102</Lines>
  <Paragraphs>310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155149</CharactersWithSpaces>
  <SharedDoc>false</SharedDoc>
  <HLinks>
    <vt:vector size="162" baseType="variant">
      <vt:variant>
        <vt:i4>6094963</vt:i4>
      </vt:variant>
      <vt:variant>
        <vt:i4>77</vt:i4>
      </vt:variant>
      <vt:variant>
        <vt:i4>0</vt:i4>
      </vt:variant>
      <vt:variant>
        <vt:i4>5</vt:i4>
      </vt:variant>
      <vt:variant>
        <vt:lpwstr/>
      </vt:variant>
      <vt:variant>
        <vt:lpwstr>_1x0gk37</vt:lpwstr>
      </vt:variant>
      <vt:variant>
        <vt:i4>1638519</vt:i4>
      </vt:variant>
      <vt:variant>
        <vt:i4>74</vt:i4>
      </vt:variant>
      <vt:variant>
        <vt:i4>0</vt:i4>
      </vt:variant>
      <vt:variant>
        <vt:i4>5</vt:i4>
      </vt:variant>
      <vt:variant>
        <vt:lpwstr/>
      </vt:variant>
      <vt:variant>
        <vt:lpwstr>_3hv69ve</vt:lpwstr>
      </vt:variant>
      <vt:variant>
        <vt:i4>262240</vt:i4>
      </vt:variant>
      <vt:variant>
        <vt:i4>71</vt:i4>
      </vt:variant>
      <vt:variant>
        <vt:i4>0</vt:i4>
      </vt:variant>
      <vt:variant>
        <vt:i4>5</vt:i4>
      </vt:variant>
      <vt:variant>
        <vt:lpwstr/>
      </vt:variant>
      <vt:variant>
        <vt:lpwstr>_1jlao46</vt:lpwstr>
      </vt:variant>
      <vt:variant>
        <vt:i4>5505068</vt:i4>
      </vt:variant>
      <vt:variant>
        <vt:i4>68</vt:i4>
      </vt:variant>
      <vt:variant>
        <vt:i4>0</vt:i4>
      </vt:variant>
      <vt:variant>
        <vt:i4>5</vt:i4>
      </vt:variant>
      <vt:variant>
        <vt:lpwstr/>
      </vt:variant>
      <vt:variant>
        <vt:lpwstr>_34g0dwd</vt:lpwstr>
      </vt:variant>
      <vt:variant>
        <vt:i4>589856</vt:i4>
      </vt:variant>
      <vt:variant>
        <vt:i4>65</vt:i4>
      </vt:variant>
      <vt:variant>
        <vt:i4>0</vt:i4>
      </vt:variant>
      <vt:variant>
        <vt:i4>5</vt:i4>
      </vt:variant>
      <vt:variant>
        <vt:lpwstr/>
      </vt:variant>
      <vt:variant>
        <vt:lpwstr>_2r0uhxc</vt:lpwstr>
      </vt:variant>
      <vt:variant>
        <vt:i4>2031654</vt:i4>
      </vt:variant>
      <vt:variant>
        <vt:i4>62</vt:i4>
      </vt:variant>
      <vt:variant>
        <vt:i4>0</vt:i4>
      </vt:variant>
      <vt:variant>
        <vt:i4>5</vt:i4>
      </vt:variant>
      <vt:variant>
        <vt:lpwstr/>
      </vt:variant>
      <vt:variant>
        <vt:lpwstr>_4bvk7pj</vt:lpwstr>
      </vt:variant>
      <vt:variant>
        <vt:i4>6225957</vt:i4>
      </vt:variant>
      <vt:variant>
        <vt:i4>59</vt:i4>
      </vt:variant>
      <vt:variant>
        <vt:i4>0</vt:i4>
      </vt:variant>
      <vt:variant>
        <vt:i4>5</vt:i4>
      </vt:variant>
      <vt:variant>
        <vt:lpwstr/>
      </vt:variant>
      <vt:variant>
        <vt:lpwstr>_3cqmetx</vt:lpwstr>
      </vt:variant>
      <vt:variant>
        <vt:i4>589932</vt:i4>
      </vt:variant>
      <vt:variant>
        <vt:i4>56</vt:i4>
      </vt:variant>
      <vt:variant>
        <vt:i4>0</vt:i4>
      </vt:variant>
      <vt:variant>
        <vt:i4>5</vt:i4>
      </vt:variant>
      <vt:variant>
        <vt:lpwstr/>
      </vt:variant>
      <vt:variant>
        <vt:lpwstr>_4k668n3</vt:lpwstr>
      </vt:variant>
      <vt:variant>
        <vt:i4>1507382</vt:i4>
      </vt:variant>
      <vt:variant>
        <vt:i4>53</vt:i4>
      </vt:variant>
      <vt:variant>
        <vt:i4>0</vt:i4>
      </vt:variant>
      <vt:variant>
        <vt:i4>5</vt:i4>
      </vt:variant>
      <vt:variant>
        <vt:lpwstr/>
      </vt:variant>
      <vt:variant>
        <vt:lpwstr>_111kx3o</vt:lpwstr>
      </vt:variant>
      <vt:variant>
        <vt:i4>1507382</vt:i4>
      </vt:variant>
      <vt:variant>
        <vt:i4>50</vt:i4>
      </vt:variant>
      <vt:variant>
        <vt:i4>0</vt:i4>
      </vt:variant>
      <vt:variant>
        <vt:i4>5</vt:i4>
      </vt:variant>
      <vt:variant>
        <vt:lpwstr/>
      </vt:variant>
      <vt:variant>
        <vt:lpwstr>_46r0co2</vt:lpwstr>
      </vt:variant>
      <vt:variant>
        <vt:i4>983137</vt:i4>
      </vt:variant>
      <vt:variant>
        <vt:i4>47</vt:i4>
      </vt:variant>
      <vt:variant>
        <vt:i4>0</vt:i4>
      </vt:variant>
      <vt:variant>
        <vt:i4>5</vt:i4>
      </vt:variant>
      <vt:variant>
        <vt:lpwstr/>
      </vt:variant>
      <vt:variant>
        <vt:lpwstr>_1mrcu09</vt:lpwstr>
      </vt:variant>
      <vt:variant>
        <vt:i4>3932163</vt:i4>
      </vt:variant>
      <vt:variant>
        <vt:i4>44</vt:i4>
      </vt:variant>
      <vt:variant>
        <vt:i4>0</vt:i4>
      </vt:variant>
      <vt:variant>
        <vt:i4>5</vt:i4>
      </vt:variant>
      <vt:variant>
        <vt:lpwstr/>
      </vt:variant>
      <vt:variant>
        <vt:lpwstr>_nmf14n</vt:lpwstr>
      </vt:variant>
      <vt:variant>
        <vt:i4>458798</vt:i4>
      </vt:variant>
      <vt:variant>
        <vt:i4>41</vt:i4>
      </vt:variant>
      <vt:variant>
        <vt:i4>0</vt:i4>
      </vt:variant>
      <vt:variant>
        <vt:i4>5</vt:i4>
      </vt:variant>
      <vt:variant>
        <vt:lpwstr/>
      </vt:variant>
      <vt:variant>
        <vt:lpwstr>_3tbugp1</vt:lpwstr>
      </vt:variant>
      <vt:variant>
        <vt:i4>1245281</vt:i4>
      </vt:variant>
      <vt:variant>
        <vt:i4>38</vt:i4>
      </vt:variant>
      <vt:variant>
        <vt:i4>0</vt:i4>
      </vt:variant>
      <vt:variant>
        <vt:i4>5</vt:i4>
      </vt:variant>
      <vt:variant>
        <vt:lpwstr/>
      </vt:variant>
      <vt:variant>
        <vt:lpwstr>_19c6y18</vt:lpwstr>
      </vt:variant>
      <vt:variant>
        <vt:i4>786473</vt:i4>
      </vt:variant>
      <vt:variant>
        <vt:i4>35</vt:i4>
      </vt:variant>
      <vt:variant>
        <vt:i4>0</vt:i4>
      </vt:variant>
      <vt:variant>
        <vt:i4>5</vt:i4>
      </vt:variant>
      <vt:variant>
        <vt:lpwstr/>
      </vt:variant>
      <vt:variant>
        <vt:lpwstr>_2u6wntf</vt:lpwstr>
      </vt:variant>
      <vt:variant>
        <vt:i4>786488</vt:i4>
      </vt:variant>
      <vt:variant>
        <vt:i4>32</vt:i4>
      </vt:variant>
      <vt:variant>
        <vt:i4>0</vt:i4>
      </vt:variant>
      <vt:variant>
        <vt:i4>5</vt:i4>
      </vt:variant>
      <vt:variant>
        <vt:lpwstr/>
      </vt:variant>
      <vt:variant>
        <vt:lpwstr>_4f1mdlm</vt:lpwstr>
      </vt:variant>
      <vt:variant>
        <vt:i4>65576</vt:i4>
      </vt:variant>
      <vt:variant>
        <vt:i4>29</vt:i4>
      </vt:variant>
      <vt:variant>
        <vt:i4>0</vt:i4>
      </vt:variant>
      <vt:variant>
        <vt:i4>5</vt:i4>
      </vt:variant>
      <vt:variant>
        <vt:lpwstr/>
      </vt:variant>
      <vt:variant>
        <vt:lpwstr>_1v1yuxt</vt:lpwstr>
      </vt:variant>
      <vt:variant>
        <vt:i4>7667733</vt:i4>
      </vt:variant>
      <vt:variant>
        <vt:i4>26</vt:i4>
      </vt:variant>
      <vt:variant>
        <vt:i4>0</vt:i4>
      </vt:variant>
      <vt:variant>
        <vt:i4>5</vt:i4>
      </vt:variant>
      <vt:variant>
        <vt:lpwstr/>
      </vt:variant>
      <vt:variant>
        <vt:lpwstr>_vx1227</vt:lpwstr>
      </vt:variant>
      <vt:variant>
        <vt:i4>6094948</vt:i4>
      </vt:variant>
      <vt:variant>
        <vt:i4>23</vt:i4>
      </vt:variant>
      <vt:variant>
        <vt:i4>0</vt:i4>
      </vt:variant>
      <vt:variant>
        <vt:i4>5</vt:i4>
      </vt:variant>
      <vt:variant>
        <vt:lpwstr/>
      </vt:variant>
      <vt:variant>
        <vt:lpwstr>_41mghml</vt:lpwstr>
      </vt:variant>
      <vt:variant>
        <vt:i4>5636157</vt:i4>
      </vt:variant>
      <vt:variant>
        <vt:i4>20</vt:i4>
      </vt:variant>
      <vt:variant>
        <vt:i4>0</vt:i4>
      </vt:variant>
      <vt:variant>
        <vt:i4>5</vt:i4>
      </vt:variant>
      <vt:variant>
        <vt:lpwstr/>
      </vt:variant>
      <vt:variant>
        <vt:lpwstr>_1hmsyys</vt:lpwstr>
      </vt:variant>
      <vt:variant>
        <vt:i4>4587647</vt:i4>
      </vt:variant>
      <vt:variant>
        <vt:i4>17</vt:i4>
      </vt:variant>
      <vt:variant>
        <vt:i4>0</vt:i4>
      </vt:variant>
      <vt:variant>
        <vt:i4>5</vt:i4>
      </vt:variant>
      <vt:variant>
        <vt:lpwstr/>
      </vt:variant>
      <vt:variant>
        <vt:lpwstr>_147n2zr</vt:lpwstr>
      </vt:variant>
      <vt:variant>
        <vt:i4>5898341</vt:i4>
      </vt:variant>
      <vt:variant>
        <vt:i4>14</vt:i4>
      </vt:variant>
      <vt:variant>
        <vt:i4>0</vt:i4>
      </vt:variant>
      <vt:variant>
        <vt:i4>5</vt:i4>
      </vt:variant>
      <vt:variant>
        <vt:lpwstr/>
      </vt:variant>
      <vt:variant>
        <vt:lpwstr>_3as4poj</vt:lpwstr>
      </vt:variant>
      <vt:variant>
        <vt:i4>1638449</vt:i4>
      </vt:variant>
      <vt:variant>
        <vt:i4>11</vt:i4>
      </vt:variant>
      <vt:variant>
        <vt:i4>0</vt:i4>
      </vt:variant>
      <vt:variant>
        <vt:i4>5</vt:i4>
      </vt:variant>
      <vt:variant>
        <vt:lpwstr/>
      </vt:variant>
      <vt:variant>
        <vt:lpwstr>_4i7ojhp</vt:lpwstr>
      </vt:variant>
      <vt:variant>
        <vt:i4>5111907</vt:i4>
      </vt:variant>
      <vt:variant>
        <vt:i4>8</vt:i4>
      </vt:variant>
      <vt:variant>
        <vt:i4>0</vt:i4>
      </vt:variant>
      <vt:variant>
        <vt:i4>5</vt:i4>
      </vt:variant>
      <vt:variant>
        <vt:lpwstr/>
      </vt:variant>
      <vt:variant>
        <vt:lpwstr>_1y810tw</vt:lpwstr>
      </vt:variant>
      <vt:variant>
        <vt:i4>4325414</vt:i4>
      </vt:variant>
      <vt:variant>
        <vt:i4>5</vt:i4>
      </vt:variant>
      <vt:variant>
        <vt:i4>0</vt:i4>
      </vt:variant>
      <vt:variant>
        <vt:i4>5</vt:i4>
      </vt:variant>
      <vt:variant>
        <vt:lpwstr/>
      </vt:variant>
      <vt:variant>
        <vt:lpwstr>_2s8eyo1</vt:lpwstr>
      </vt:variant>
      <vt:variant>
        <vt:i4>5177395</vt:i4>
      </vt:variant>
      <vt:variant>
        <vt:i4>2</vt:i4>
      </vt:variant>
      <vt:variant>
        <vt:i4>0</vt:i4>
      </vt:variant>
      <vt:variant>
        <vt:i4>5</vt:i4>
      </vt:variant>
      <vt:variant>
        <vt:lpwstr/>
      </vt:variant>
      <vt:variant>
        <vt:lpwstr>_30j0zll</vt:lpwstr>
      </vt:variant>
      <vt:variant>
        <vt:i4>2097257</vt:i4>
      </vt:variant>
      <vt:variant>
        <vt:i4>381</vt:i4>
      </vt:variant>
      <vt:variant>
        <vt:i4>0</vt:i4>
      </vt:variant>
      <vt:variant>
        <vt:i4>5</vt:i4>
      </vt:variant>
      <vt:variant>
        <vt:lpwstr>https://perma.cc/RBE5-EW49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Walker Halstad</dc:creator>
  <cp:keywords/>
  <cp:lastModifiedBy>Brian Galle</cp:lastModifiedBy>
  <cp:revision>2</cp:revision>
  <dcterms:created xsi:type="dcterms:W3CDTF">2023-01-10T01:21:00Z</dcterms:created>
  <dcterms:modified xsi:type="dcterms:W3CDTF">2023-01-10T01:21:00Z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0x0101006B0C09CCE8A2F54CB883455412A5482E</vt:lpwstr>
  </property>
</Properties>
</file>